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Supplementary material</w:t>
      </w:r>
    </w:p>
    <w:p>
      <w:pPr>
        <w:spacing w:after="240" w:line="480" w:lineRule="auto"/>
      </w:pPr>
      <w:r>
        <w:t>Traffic-crash mortality during unusually hot days in the United States: distributed-lag and road-user-specific analyses</w:t>
      </w:r>
    </w:p>
    <w:p>
      <w:pPr>
        <w:spacing w:before="280"/>
      </w:pPr>
      <w:r>
        <w:rPr>
          <w:b/>
        </w:rPr>
        <w:t xml:space="preserve">Table S1 </w:t>
      </w:r>
      <w:r>
        <w:t>United States robustness to the anomaly contrast: same-day and cumulative (lag 0-10 day) rate ratios at +5 °C, the empirical 95th percentile of the anomaly distribution, and the +9 °C reference contrast, from the primary model.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Contrast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Same-day RR (95% CI)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Cumulative RR (95% CI)</w:t>
            </w:r>
          </w:p>
        </w:tc>
      </w:tr>
      <w:tr>
        <w:tc>
          <w:tcPr>
            <w:tcW w:type="dxa" w:w="2880"/>
          </w:tcPr>
          <w:p>
            <w:r>
              <w:t>+5 °C anomaly</w:t>
            </w:r>
          </w:p>
        </w:tc>
        <w:tc>
          <w:tcPr>
            <w:tcW w:type="dxa" w:w="2880"/>
          </w:tcPr>
          <w:p>
            <w:r>
              <w:t>1.079 (1.068-1.089)</w:t>
            </w:r>
          </w:p>
        </w:tc>
        <w:tc>
          <w:tcPr>
            <w:tcW w:type="dxa" w:w="2880"/>
          </w:tcPr>
          <w:p>
            <w:r>
              <w:t>1.031 (1.014-1.049)</w:t>
            </w:r>
          </w:p>
        </w:tc>
      </w:tr>
      <w:tr>
        <w:tc>
          <w:tcPr>
            <w:tcW w:type="dxa" w:w="2880"/>
          </w:tcPr>
          <w:p>
            <w:r>
              <w:t>95th-percentile anomaly (+6.25 °C)</w:t>
            </w:r>
          </w:p>
        </w:tc>
        <w:tc>
          <w:tcPr>
            <w:tcW w:type="dxa" w:w="2880"/>
          </w:tcPr>
          <w:p>
            <w:r>
              <w:t>1.104 (1.089-1.118)</w:t>
            </w:r>
          </w:p>
        </w:tc>
        <w:tc>
          <w:tcPr>
            <w:tcW w:type="dxa" w:w="2880"/>
          </w:tcPr>
          <w:p>
            <w:r>
              <w:t>1.043 (1.016-1.071)</w:t>
            </w:r>
          </w:p>
        </w:tc>
      </w:tr>
      <w:tr>
        <w:tc>
          <w:tcPr>
            <w:tcW w:type="dxa" w:w="2880"/>
          </w:tcPr>
          <w:p>
            <w:r>
              <w:t>+9 °C anomaly (reference)</w:t>
            </w:r>
          </w:p>
        </w:tc>
        <w:tc>
          <w:tcPr>
            <w:tcW w:type="dxa" w:w="2880"/>
          </w:tcPr>
          <w:p>
            <w:r>
              <w:t>1.165 (1.135-1.196)</w:t>
            </w:r>
          </w:p>
        </w:tc>
        <w:tc>
          <w:tcPr>
            <w:tcW w:type="dxa" w:w="2880"/>
          </w:tcPr>
          <w:p>
            <w:r>
              <w:t>1.076 (1.017-1.139)</w:t>
            </w:r>
          </w:p>
        </w:tc>
      </w:tr>
    </w:tbl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9575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bsolute_exposure_respon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957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/>
      </w:pPr>
      <w:r>
        <w:rPr>
          <w:b/>
        </w:rPr>
        <w:t xml:space="preserve">Fig. S1 </w:t>
      </w:r>
      <w:r>
        <w:t>United States absolute-temperature exposure-response for daily traffic-crash deaths (cumulative over lag 0-10 days), relative to the minimum-mortality temperature. The curve peaks at mild temperatures and declines at extreme heat, reflecting the seasonal driving-exposure envelope rather than an acute heat association.</w:t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8744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us_timeofda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74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/>
      </w:pPr>
      <w:r>
        <w:rPr>
          <w:b/>
        </w:rPr>
        <w:t xml:space="preserve">Fig. S2 </w:t>
      </w:r>
      <w:r>
        <w:t>United States same-day rate ratio of crash death for a +9 °C anomaly by crash hour of day. The excess is largest for crashes in the hottest part of the day (12-17 h) and weakest in the cool morning (06-11 h); the overnight band is also elevated. Exploratory; not adjusted for multiple comparisons.</w:t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8893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hidden_vs_offici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89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/>
      </w:pPr>
      <w:r>
        <w:rPr>
          <w:b/>
        </w:rPr>
        <w:t xml:space="preserve">Fig. S3 </w:t>
      </w:r>
      <w:r>
        <w:t>United States comparison of estimated net heat-attributable crash deaths per year (a model-based attributable-burden estimate) with officially coded direct-heat deaths (ICD-10 X30) from CDC WONDER. The two quantities are different constructs and are shown for magnitude context only.</w:t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8529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us_projec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52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/>
      </w:pPr>
      <w:r>
        <w:rPr>
          <w:b/>
        </w:rPr>
        <w:t xml:space="preserve">Fig. S4 </w:t>
      </w:r>
      <w:r>
        <w:t>United States additional traffic-crash deaths per year implied by the fitted anomaly association under a uniform +1, +2 or +3 °C shift of the daily temperature distribution, holding baseline population, driving activity, the vehicle fleet and adaptation constant. This is an illustrative scenario translation, not a forecast.</w:t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6606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p_fig2_anomaly_exposure_respons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660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/>
      </w:pPr>
      <w:r>
        <w:rPr>
          <w:b/>
        </w:rPr>
        <w:t xml:space="preserve">Fig. S5 </w:t>
      </w:r>
      <w:r>
        <w:t>Japan temperature-anomaly exposure-response (2019-2024). The estimate is imprecise: the confidence band is wide and includes the null throughout.</w:t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9645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jp_strat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64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/>
      </w:pPr>
      <w:r>
        <w:rPr>
          <w:b/>
        </w:rPr>
        <w:t xml:space="preserve">Fig. S6 </w:t>
      </w:r>
      <w:r>
        <w:t>Japan same-day rate ratio of crash death for a +9 °C anomaly by accident type and by prefecture population density (split at the median, a proxy for public-transport availability). All confidence intervals are wide and include the null; exploratory, not adjusted for multiple comparisons.</w:t>
      </w:r>
    </w:p>
    <w:p/>
    <w:p>
      <w:pPr>
        <w:spacing w:before="280"/>
      </w:pPr>
      <w:r>
        <w:rPr>
          <w:b/>
        </w:rPr>
        <w:t xml:space="preserve">Table S2 </w:t>
      </w:r>
      <w:r>
        <w:t>United States same-day rate ratio of crash death for a +9 °C anomaly, by crash circumstances. Exploratory; not adjusted for multiple comparisons.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Stratum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Crash deaths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Same-day RR (95% CI)</w:t>
            </w:r>
          </w:p>
        </w:tc>
      </w:tr>
      <w:tr>
        <w:tc>
          <w:tcPr>
            <w:tcW w:type="dxa" w:w="2880"/>
          </w:tcPr>
          <w:p>
            <w:r>
              <w:t>Manner of collision: Single-vehicle (not a MVIT collision)</w:t>
            </w:r>
          </w:p>
        </w:tc>
        <w:tc>
          <w:tcPr>
            <w:tcW w:type="dxa" w:w="2880"/>
          </w:tcPr>
          <w:p>
            <w:r>
              <w:t>160,517</w:t>
            </w:r>
          </w:p>
        </w:tc>
        <w:tc>
          <w:tcPr>
            <w:tcW w:type="dxa" w:w="2880"/>
          </w:tcPr>
          <w:p>
            <w:r>
              <w:t>1.199 (1.161-1.238)</w:t>
            </w:r>
          </w:p>
        </w:tc>
      </w:tr>
      <w:tr>
        <w:tc>
          <w:tcPr>
            <w:tcW w:type="dxa" w:w="2880"/>
          </w:tcPr>
          <w:p>
            <w:r>
              <w:t>Manner of collision: Multi-vehicle collision</w:t>
            </w:r>
          </w:p>
        </w:tc>
        <w:tc>
          <w:tcPr>
            <w:tcW w:type="dxa" w:w="2880"/>
          </w:tcPr>
          <w:p>
            <w:r>
              <w:t>111,415</w:t>
            </w:r>
          </w:p>
        </w:tc>
        <w:tc>
          <w:tcPr>
            <w:tcW w:type="dxa" w:w="2880"/>
          </w:tcPr>
          <w:p>
            <w:r>
              <w:t>1.113 (1.066-1.162)</w:t>
            </w:r>
          </w:p>
        </w:tc>
      </w:tr>
      <w:tr>
        <w:tc>
          <w:tcPr>
            <w:tcW w:type="dxa" w:w="2880"/>
          </w:tcPr>
          <w:p>
            <w:r>
              <w:t>Weather condition: Clear or cloudy</w:t>
            </w:r>
          </w:p>
        </w:tc>
        <w:tc>
          <w:tcPr>
            <w:tcW w:type="dxa" w:w="2880"/>
          </w:tcPr>
          <w:p>
            <w:r>
              <w:t>212,319</w:t>
            </w:r>
          </w:p>
        </w:tc>
        <w:tc>
          <w:tcPr>
            <w:tcW w:type="dxa" w:w="2880"/>
          </w:tcPr>
          <w:p>
            <w:r>
              <w:t>1.185 (1.148-1.224)</w:t>
            </w:r>
          </w:p>
        </w:tc>
      </w:tr>
      <w:tr>
        <w:tc>
          <w:tcPr>
            <w:tcW w:type="dxa" w:w="2880"/>
          </w:tcPr>
          <w:p>
            <w:r>
              <w:t>Weather condition: Adverse (rain, snow, fog, wind)</w:t>
            </w:r>
          </w:p>
        </w:tc>
        <w:tc>
          <w:tcPr>
            <w:tcW w:type="dxa" w:w="2880"/>
          </w:tcPr>
          <w:p>
            <w:r>
              <w:t>44,401</w:t>
            </w:r>
          </w:p>
        </w:tc>
        <w:tc>
          <w:tcPr>
            <w:tcW w:type="dxa" w:w="2880"/>
          </w:tcPr>
          <w:p>
            <w:r>
              <w:t>1.119 (1.054-1.188)</w:t>
            </w:r>
          </w:p>
        </w:tc>
      </w:tr>
      <w:tr>
        <w:tc>
          <w:tcPr>
            <w:tcW w:type="dxa" w:w="2880"/>
          </w:tcPr>
          <w:p>
            <w:r>
              <w:t>Land use: Rural</w:t>
            </w:r>
          </w:p>
        </w:tc>
        <w:tc>
          <w:tcPr>
            <w:tcW w:type="dxa" w:w="2880"/>
          </w:tcPr>
          <w:p>
            <w:r>
              <w:t>119,138</w:t>
            </w:r>
          </w:p>
        </w:tc>
        <w:tc>
          <w:tcPr>
            <w:tcW w:type="dxa" w:w="2880"/>
          </w:tcPr>
          <w:p>
            <w:r>
              <w:t>1.139 (1.096-1.184)</w:t>
            </w:r>
          </w:p>
        </w:tc>
      </w:tr>
      <w:tr>
        <w:tc>
          <w:tcPr>
            <w:tcW w:type="dxa" w:w="2880"/>
          </w:tcPr>
          <w:p>
            <w:r>
              <w:t>Land use: Urban</w:t>
            </w:r>
          </w:p>
        </w:tc>
        <w:tc>
          <w:tcPr>
            <w:tcW w:type="dxa" w:w="2880"/>
          </w:tcPr>
          <w:p>
            <w:r>
              <w:t>153,418</w:t>
            </w:r>
          </w:p>
        </w:tc>
        <w:tc>
          <w:tcPr>
            <w:tcW w:type="dxa" w:w="2880"/>
          </w:tcPr>
          <w:p>
            <w:r>
              <w:t>1.190 (1.150-1.232)</w:t>
            </w:r>
          </w:p>
        </w:tc>
      </w:tr>
      <w:tr>
        <w:tc>
          <w:tcPr>
            <w:tcW w:type="dxa" w:w="2880"/>
          </w:tcPr>
          <w:p>
            <w:r>
              <w:t>Driver drinking: No drinking driver</w:t>
            </w:r>
          </w:p>
        </w:tc>
        <w:tc>
          <w:tcPr>
            <w:tcW w:type="dxa" w:w="2880"/>
          </w:tcPr>
          <w:p>
            <w:r>
              <w:t>121,958</w:t>
            </w:r>
          </w:p>
        </w:tc>
        <w:tc>
          <w:tcPr>
            <w:tcW w:type="dxa" w:w="2880"/>
          </w:tcPr>
          <w:p>
            <w:r>
              <w:t>1.178 (1.133-1.224)</w:t>
            </w:r>
          </w:p>
        </w:tc>
      </w:tr>
      <w:tr>
        <w:tc>
          <w:tcPr>
            <w:tcW w:type="dxa" w:w="2880"/>
          </w:tcPr>
          <w:p>
            <w:r>
              <w:t>Driver drinking: Drinking driver involved</w:t>
            </w:r>
          </w:p>
        </w:tc>
        <w:tc>
          <w:tcPr>
            <w:tcW w:type="dxa" w:w="2880"/>
          </w:tcPr>
          <w:p>
            <w:r>
              <w:t>47,963</w:t>
            </w:r>
          </w:p>
        </w:tc>
        <w:tc>
          <w:tcPr>
            <w:tcW w:type="dxa" w:w="2880"/>
          </w:tcPr>
          <w:p>
            <w:r>
              <w:t>1.191 (1.119-1.269)</w:t>
            </w:r>
          </w:p>
        </w:tc>
      </w:tr>
    </w:tbl>
    <w:p/>
    <w:p>
      <w:pPr>
        <w:spacing w:before="280"/>
      </w:pPr>
      <w:r>
        <w:rPr>
          <w:b/>
        </w:rPr>
        <w:t xml:space="preserve">Table S3 </w:t>
      </w:r>
      <w:r>
        <w:t>United States additional traffic-crash deaths per year implied by the fitted anomaly association under a uniform warming shift, holding activity, population and baseline rates constant; an illustrative scenario translation, not a forecast.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Uniform shift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Additional deaths/year (95% CI)</w:t>
            </w:r>
          </w:p>
        </w:tc>
      </w:tr>
      <w:tr>
        <w:tc>
          <w:tcPr>
            <w:tcW w:type="dxa" w:w="4320"/>
          </w:tcPr>
          <w:p>
            <w:r>
              <w:t>+1 °C</w:t>
            </w:r>
          </w:p>
        </w:tc>
        <w:tc>
          <w:tcPr>
            <w:tcW w:type="dxa" w:w="4320"/>
          </w:tcPr>
          <w:p>
            <w:r>
              <w:t>347 (257-436)</w:t>
            </w:r>
          </w:p>
        </w:tc>
      </w:tr>
      <w:tr>
        <w:tc>
          <w:tcPr>
            <w:tcW w:type="dxa" w:w="4320"/>
          </w:tcPr>
          <w:p>
            <w:r>
              <w:t>+2 °C</w:t>
            </w:r>
          </w:p>
        </w:tc>
        <w:tc>
          <w:tcPr>
            <w:tcW w:type="dxa" w:w="4320"/>
          </w:tcPr>
          <w:p>
            <w:r>
              <w:t>678 (474-881)</w:t>
            </w:r>
          </w:p>
        </w:tc>
      </w:tr>
      <w:tr>
        <w:tc>
          <w:tcPr>
            <w:tcW w:type="dxa" w:w="4320"/>
          </w:tcPr>
          <w:p>
            <w:r>
              <w:t>+3 °C</w:t>
            </w:r>
          </w:p>
        </w:tc>
        <w:tc>
          <w:tcPr>
            <w:tcW w:type="dxa" w:w="4320"/>
          </w:tcPr>
          <w:p>
            <w:r>
              <w:t>1009 (667-1384)</w:t>
            </w:r>
          </w:p>
        </w:tc>
      </w:tr>
    </w:tbl>
    <w:p/>
    <w:p>
      <w:pPr>
        <w:spacing w:before="280"/>
      </w:pPr>
      <w:r>
        <w:rPr>
          <w:b/>
        </w:rPr>
        <w:t xml:space="preserve">Table S4 </w:t>
      </w:r>
      <w:r>
        <w:t>Japan same-day rate ratio of crash death for a +9 °C anomaly, by accident type and prefecture population density. All estimates are underpowered; exploratory, not adjusted for multiple comparisons.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Stratum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Crash deaths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Same-day RR (95% CI)</w:t>
            </w:r>
          </w:p>
        </w:tc>
      </w:tr>
      <w:tr>
        <w:tc>
          <w:tcPr>
            <w:tcW w:type="dxa" w:w="2880"/>
          </w:tcPr>
          <w:p>
            <w:r>
              <w:t>Accident type: Single-vehicle</w:t>
            </w:r>
          </w:p>
        </w:tc>
        <w:tc>
          <w:tcPr>
            <w:tcW w:type="dxa" w:w="2880"/>
          </w:tcPr>
          <w:p>
            <w:r>
              <w:t>3,227</w:t>
            </w:r>
          </w:p>
        </w:tc>
        <w:tc>
          <w:tcPr>
            <w:tcW w:type="dxa" w:w="2880"/>
          </w:tcPr>
          <w:p>
            <w:r>
              <w:t>1.133 (0.722-1.778)</w:t>
            </w:r>
          </w:p>
        </w:tc>
      </w:tr>
      <w:tr>
        <w:tc>
          <w:tcPr>
            <w:tcW w:type="dxa" w:w="2880"/>
          </w:tcPr>
          <w:p>
            <w:r>
              <w:t>Accident type: Vehicle-vehicle</w:t>
            </w:r>
          </w:p>
        </w:tc>
        <w:tc>
          <w:tcPr>
            <w:tcW w:type="dxa" w:w="2880"/>
          </w:tcPr>
          <w:p>
            <w:r>
              <w:t>4,280</w:t>
            </w:r>
          </w:p>
        </w:tc>
        <w:tc>
          <w:tcPr>
            <w:tcW w:type="dxa" w:w="2880"/>
          </w:tcPr>
          <w:p>
            <w:r>
              <w:t>1.079 (0.731-1.594)</w:t>
            </w:r>
          </w:p>
        </w:tc>
      </w:tr>
      <w:tr>
        <w:tc>
          <w:tcPr>
            <w:tcW w:type="dxa" w:w="2880"/>
          </w:tcPr>
          <w:p>
            <w:r>
              <w:t>Accident type: Vehicle-pedestrian</w:t>
            </w:r>
          </w:p>
        </w:tc>
        <w:tc>
          <w:tcPr>
            <w:tcW w:type="dxa" w:w="2880"/>
          </w:tcPr>
          <w:p>
            <w:r>
              <w:t>3,968</w:t>
            </w:r>
          </w:p>
        </w:tc>
        <w:tc>
          <w:tcPr>
            <w:tcW w:type="dxa" w:w="2880"/>
          </w:tcPr>
          <w:p>
            <w:r>
              <w:t>0.740 (0.500-1.097)</w:t>
            </w:r>
          </w:p>
        </w:tc>
      </w:tr>
      <w:tr>
        <w:tc>
          <w:tcPr>
            <w:tcW w:type="dxa" w:w="2880"/>
          </w:tcPr>
          <w:p>
            <w:r>
              <w:t>Prefecture density: High-density prefectures (transit-rich proxy)</w:t>
            </w:r>
          </w:p>
        </w:tc>
        <w:tc>
          <w:tcPr>
            <w:tcW w:type="dxa" w:w="2880"/>
          </w:tcPr>
          <w:p>
            <w:r>
              <w:t>7,583</w:t>
            </w:r>
          </w:p>
        </w:tc>
        <w:tc>
          <w:tcPr>
            <w:tcW w:type="dxa" w:w="2880"/>
          </w:tcPr>
          <w:p>
            <w:r>
              <w:t>0.938 (0.696-1.264)</w:t>
            </w:r>
          </w:p>
        </w:tc>
      </w:tr>
      <w:tr>
        <w:tc>
          <w:tcPr>
            <w:tcW w:type="dxa" w:w="2880"/>
          </w:tcPr>
          <w:p>
            <w:r>
              <w:t>Prefecture density: Low-density prefectures (transit-poor proxy)</w:t>
            </w:r>
          </w:p>
        </w:tc>
        <w:tc>
          <w:tcPr>
            <w:tcW w:type="dxa" w:w="2880"/>
          </w:tcPr>
          <w:p>
            <w:r>
              <w:t>4,081</w:t>
            </w:r>
          </w:p>
        </w:tc>
        <w:tc>
          <w:tcPr>
            <w:tcW w:type="dxa" w:w="2880"/>
          </w:tcPr>
          <w:p>
            <w:r>
              <w:t>0.958 (0.664-1.383)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