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480" w:lineRule="auto"/>
      </w:pPr>
      <w:r>
        <w:t>28 September 2026</w:t>
      </w:r>
    </w:p>
    <w:p>
      <w:pPr>
        <w:spacing w:after="120" w:line="480" w:lineRule="auto"/>
      </w:pPr>
      <w:r>
        <w:t>The Editor-in-Chief, International Journal of Biometeorology</w:t>
      </w:r>
    </w:p>
    <w:p>
      <w:pPr>
        <w:spacing w:after="120" w:line="480" w:lineRule="auto"/>
      </w:pPr>
      <w:r>
        <w:t>Dear Editor-in-Chief,</w:t>
      </w:r>
    </w:p>
    <w:p>
      <w:pPr>
        <w:spacing w:after="120" w:line="480" w:lineRule="auto"/>
      </w:pPr>
      <w:r>
        <w:t>We submit for your consideration our manuscript, “Traffic-crash mortality during unusually hot days in the United States: distributed-lag and road-user-specific analyses”, as an Original Research Paper.</w:t>
      </w:r>
    </w:p>
    <w:p>
      <w:pPr>
        <w:spacing w:after="120" w:line="480" w:lineRule="auto"/>
      </w:pPr>
      <w:r>
        <w:t>That heat and heat waves are associated with road crashes, including fatal crashes, is already established in the literature. The incremental contribution of this study is to reframe the exposure biometeorologically: rather than absolute temperature or fixed heat-wave thresholds, we analyse departures from each spatial unit's own seasonal climatology in a distributed-lag model that separates an acute same-day excess from subsequent temporal displacement. Applied to nationwide US fatal-crash data (272,586 deaths, 2016-2022), the model shows an acute same-day association (RR 1.165, 95% CI 1.135-1.196 for a +9 °C anomaly) concentrated in open-air road users, and a model-based net attributable burden of about 528 deaths per year. A harmonized analysis of Japanese prefecture data is reported transparently as an exploratory external-transportability assessment that did not clearly replicate.</w:t>
      </w:r>
    </w:p>
    <w:p>
      <w:pPr>
        <w:spacing w:after="120" w:line="480" w:lineRule="auto"/>
      </w:pPr>
      <w:r>
        <w:t>We believe the manuscript fits the International Journal of Biometeorology's focus on relationships between the atmospheric environment and human health and safety: it applies biometeorological exposure concepts (seasonal anomalies, lag structure, heat-stress metrics) to a human safety outcome, identifies occupationally and behaviourally heat-exposed population groups, and quantifies a heat-health burden with relevance to adaptation.</w:t>
      </w:r>
    </w:p>
    <w:p>
      <w:pPr>
        <w:spacing w:after="120" w:line="480" w:lineRule="auto"/>
      </w:pPr>
      <w:r>
        <w:t>The manuscript is original, is not under consideration elsewhere, and all authors approve submission. All data are public and the complete analysis pipeline is openly available and fully reproducible, with no hard-coded results. We declare no competing interests and no specific funding. Generative AI tools were used to assist with code development and drafting, as disclosed in the manuscript.</w:t>
      </w:r>
    </w:p>
    <w:p>
      <w:pPr>
        <w:spacing w:after="120" w:line="480" w:lineRule="auto"/>
      </w:pPr>
      <w:r>
        <w:t>Yours sincerely,</w:t>
      </w:r>
    </w:p>
    <w:p>
      <w:pPr>
        <w:spacing w:after="120" w:line="480" w:lineRule="auto"/>
      </w:pPr>
      <w:r>
        <w:t>Tatsuki Onishi</w:t>
        <w:br/>
        <w:t>Data Science and AI Innovation Research Promotion Center</w:t>
        <w:br/>
        <w:t>Shiga University of Medical Science</w:t>
        <w:br/>
        <w:t>Seta Tsukinowa-cho, Otsu, Shiga 520-2192, Japan</w:t>
        <w:br/>
        <w:t>E-mail: bougtoir@gmail.com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