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3178 words</w:t>
      </w:r>
    </w:p>
    <w:p>
      <w:r>
        <w:rPr>
          <w:rFonts w:ascii="Times New Roman" w:hAnsi="Times New Roman"/>
          <w:i/>
          <w:sz w:val="24"/>
        </w:rPr>
        <w:t>Tables: 3   Figures: 2   References: 21</w:t>
      </w:r>
    </w:p>
    <w:p>
      <w:r>
        <w:rPr>
          <w:rFonts w:ascii="Times New Roman" w:hAnsi="Times New Roman"/>
          <w:i/>
          <w:sz w:val="24"/>
        </w:rPr>
        <w:t>Highlights: 3-5 bullet points summarising novel findings (uploaded as a separate file)</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Journal of Clinical Anesthesia</w:t>
      </w:r>
    </w:p>
    <w:p>
      <w:r>
        <w:br w:type="page"/>
      </w:r>
    </w:p>
    <w:p>
      <w:pPr>
        <w:jc w:val="center"/>
      </w:pPr>
      <w:r>
        <w:rPr>
          <w:rFonts w:ascii="Times New Roman" w:hAnsi="Times New Roman"/>
          <w:b/>
          <w:sz w:val="24"/>
        </w:rPr>
        <w:t>Regional variation in anaesthesia practice in Japan under universal health coverage: structural determinants and claims-audit sensitivity</w:t>
      </w:r>
    </w:p>
    <w:p>
      <w:pPr>
        <w:spacing w:after="0"/>
      </w:pPr>
    </w:p>
    <w:p>
      <w:pPr>
        <w:spacing w:before="0" w:after="120"/>
      </w:pPr>
      <w:r>
        <w:rPr>
          <w:rFonts w:ascii="Times New Roman" w:hAnsi="Times New Roman"/>
          <w:b/>
          <w:sz w:val="26"/>
        </w:rPr>
        <w:t>ABSTRACT</w:t>
      </w:r>
    </w:p>
    <w:p>
      <w:r>
        <w:rPr>
          <w:rFonts w:ascii="Times New Roman" w:hAnsi="Times New Roman"/>
          <w:sz w:val="24"/>
        </w:rPr>
        <w:t>Background: Geographic variation in anaesthesia technique is well documented, but it is rarely possible to separate true differences in care from artefacts of coding, reimbursement and auditing. Japan's uniform national fee schedule combined with prefecture-specific claims auditing creates a natural experiment for this separation.</w:t>
      </w:r>
    </w:p>
    <w:p>
      <w:r>
        <w:rPr>
          <w:rFonts w:ascii="Times New Roman" w:hAnsi="Times New Roman"/>
          <w:sz w:val="24"/>
        </w:rPr>
        <w:t>Methods: Cross-sectional ecological study of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conducted sensitivity analyses for population density, anaesthesiologist supply and plausible differential audit rates.</w:t>
      </w:r>
    </w:p>
    <w:p>
      <w:r>
        <w:rPr>
          <w:rFonts w:ascii="Times New Roman" w:hAnsi="Times New Roman"/>
          <w:sz w:val="24"/>
        </w:rPr>
        <w:t>Results: Coefficients of variation ranged from 53.7% (general anaesthesia) to 87.2% (epidural). For general anaesthesia, only 0.058 of variance lay between prefectures; university hospital presence explained 0.358 of total variance (</w:t>
      </w:r>
      <m:oMath>
        <m:r>
          <m:t xml:space="preserve">β </m:t>
        </m:r>
        <m:r>
          <m:t xml:space="preserve">= </m:t>
        </m:r>
        <m:r>
          <m:t xml:space="preserve">64.1</m:t>
        </m:r>
        <m:r>
          <m:t xml:space="preserve">, </m:t>
        </m:r>
        <m:r>
          <m:t xml:space="preserve">95% CI </m:t>
        </m:r>
        <m:r>
          <m:t xml:space="preserve">54.8 </m:t>
        </m:r>
        <m:r>
          <m:t xml:space="preserve">to </m:t>
        </m:r>
        <m:r>
          <m:t xml:space="preserve">73.4</m:t>
        </m:r>
        <m:r>
          <m:t xml:space="preserve">, </m:t>
        </m:r>
        <m:r>
          <m:t xml:space="preserve">P </m:t>
        </m:r>
        <m:r>
          <m:t xml:space="preserve">&lt;</m:t>
        </m:r>
        <m:r>
          <m:t xml:space="preserve">0.001</m:t>
        </m:r>
      </m:oMath>
      <w:r>
        <w:rPr>
          <w:rFonts w:ascii="Times New Roman" w:hAnsi="Times New Roman"/>
          <w:sz w:val="24"/>
        </w:rPr>
        <w:t>) and was positive in every prefecture. Maximum plausible audit-related ratio shifts were small relative to the observed interquartile range (general anaesthesia: 0.53%). Covariate adjustment attenuated but did not eliminate the university-hospital effect for general, epidural and continuous epidural anaesthesia.</w:t>
      </w:r>
    </w:p>
    <w:p>
      <w:r>
        <w:rPr>
          <w:rFonts w:ascii="Times New Roman" w:hAnsi="Times New Roman"/>
          <w:sz w:val="24"/>
        </w:rPr>
        <w:t>Conclusion: Regional variation in anaesthesia practice is predominantly structural, driven by access to university hospitals rather than by prefectural auditing. In universal-coverage systems this pattern indicates inequitable access to neuraxial techniques; policy should address workforce and organisational barriers, not additional coding audits.</w:t>
      </w:r>
    </w:p>
    <w:p>
      <w:pPr>
        <w:spacing w:after="0"/>
      </w:pPr>
    </w:p>
    <w:p>
      <w:r>
        <w:rPr>
          <w:rFonts w:ascii="Times New Roman" w:hAnsi="Times New Roman"/>
          <w:sz w:val="24"/>
        </w:rPr>
        <w:t xml:space="preserve">Keywords: </w:t>
      </w:r>
    </w:p>
    <w:p>
      <w:r>
        <w:rPr>
          <w:rFonts w:ascii="Times New Roman" w:hAnsi="Times New Roman"/>
          <w:sz w:val="24"/>
        </w:rPr>
        <w:t>anaesthesia; neuraxial anaesthesia; small-area variation; multilevel analysis; quality of care; perioperative medicine; health equity; Japan</w:t>
      </w:r>
    </w:p>
    <w:p>
      <w:r>
        <w:br w:type="page"/>
      </w:r>
    </w:p>
    <w:p>
      <w:pPr>
        <w:spacing w:before="0" w:after="120"/>
      </w:pPr>
      <w:r>
        <w:rPr>
          <w:rFonts w:ascii="Times New Roman" w:hAnsi="Times New Roman"/>
          <w:b/>
          <w:sz w:val="26"/>
        </w:rPr>
        <w:t>1. 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rPr>
        <w:t>[1]</w:t>
      </w:r>
      <w:r>
        <w:rPr>
          <w:rFonts w:ascii="Times New Roman" w:hAnsi="Times New Roman"/>
          <w:sz w:val="24"/>
        </w:rPr>
        <w:t>.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rPr>
        <w:t>[1,2]</w:t>
      </w:r>
      <w:r>
        <w:rPr>
          <w:rFonts w:ascii="Times New Roman" w:hAnsi="Times New Roman"/>
          <w:sz w:val="24"/>
        </w:rPr>
        <w:t>. The same records are also used for prefecture-level insurance auditing (shinsa), and audit intensity varies across prefectures</w:t>
      </w:r>
      <w:r>
        <w:rPr>
          <w:rFonts w:ascii="Times New Roman" w:hAnsi="Times New Roman"/>
          <w:sz w:val="24"/>
        </w:rPr>
        <w:t>[3]</w:t>
      </w:r>
      <w:r>
        <w:rPr>
          <w:rFonts w:ascii="Times New Roman" w:hAnsi="Times New Roman"/>
          <w:sz w:val="24"/>
        </w:rPr>
        <w:t>.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rPr>
        <w:t>[4-6]</w:t>
      </w:r>
      <w:r>
        <w:rPr>
          <w:rFonts w:ascii="Times New Roman" w:hAnsi="Times New Roman"/>
          <w:sz w:val="24"/>
        </w:rPr>
        <w:t>. If access to these techniques varies by geography, patients' probability of receiving potentially beneficial care depends on place of residence, an equity problem under universal coverage. Japan's 2026 fee-schedule revision clarified the billing code for general anaesthesia, reducing one source of coding ambiguity</w:t>
      </w:r>
      <w:r>
        <w:rPr>
          <w:rFonts w:ascii="Times New Roman" w:hAnsi="Times New Roman"/>
          <w:sz w:val="24"/>
        </w:rPr>
        <w:t>[7]</w:t>
      </w:r>
      <w:r>
        <w:rPr>
          <w:rFonts w:ascii="Times New Roman" w:hAnsi="Times New Roman"/>
          <w:sz w:val="24"/>
        </w:rPr>
        <w:t>.</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2. MATERIALS AND METHODS</w:t>
      </w:r>
    </w:p>
    <w:p>
      <w:pPr>
        <w:spacing w:before="160" w:after="80"/>
      </w:pPr>
      <w:r>
        <w:rPr>
          <w:rFonts w:ascii="Times New Roman" w:hAnsi="Times New Roman"/>
          <w:b/>
          <w:sz w:val="24"/>
        </w:rPr>
        <w:t>2.1 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rPr>
        <w:t>[8]</w:t>
      </w:r>
      <w:r>
        <w:rPr>
          <w:rFonts w:ascii="Times New Roman" w:hAnsi="Times New Roman"/>
          <w:sz w:val="24"/>
        </w:rPr>
        <w:t>, which is provided as supplementary material.</w:t>
      </w:r>
    </w:p>
    <w:p>
      <w:pPr>
        <w:spacing w:before="160" w:after="80"/>
      </w:pPr>
      <w:r>
        <w:rPr>
          <w:rFonts w:ascii="Times New Roman" w:hAnsi="Times New Roman"/>
          <w:b/>
          <w:sz w:val="24"/>
        </w:rPr>
        <w:t>2.2 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rPr>
        <w:t>[9]</w:t>
      </w:r>
      <w:r>
        <w:rPr>
          <w:rFonts w:ascii="Times New Roman" w:hAnsi="Times New Roman"/>
          <w:sz w:val="24"/>
        </w:rPr>
        <w:t>.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rPr>
        <w:t>[10]</w:t>
      </w:r>
      <w:r>
        <w:rPr>
          <w:rFonts w:ascii="Times New Roman" w:hAnsi="Times New Roman"/>
          <w:sz w:val="24"/>
        </w:rPr>
        <w:t>, and makes within-prefecture comparisons unconfounded by spillover under a common audit policy.</w:t>
      </w:r>
    </w:p>
    <w:p>
      <w:pPr>
        <w:spacing w:before="160" w:after="80"/>
      </w:pPr>
      <w:r>
        <w:rPr>
          <w:rFonts w:ascii="Times New Roman" w:hAnsi="Times New Roman"/>
          <w:b/>
          <w:sz w:val="24"/>
        </w:rPr>
        <w:t>2.3 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rPr>
        <w:t>[11]</w:t>
      </w:r>
      <w:r>
        <w:rPr>
          <w:rFonts w:ascii="Times New Roman" w:hAnsi="Times New Roman"/>
          <w:sz w:val="24"/>
        </w:rPr>
        <w:t>.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rPr>
        <w:t>[12]</w:t>
      </w:r>
      <w:r>
        <w:rPr>
          <w:rFonts w:ascii="Times New Roman" w:hAnsi="Times New Roman"/>
          <w:sz w:val="24"/>
        </w:rPr>
        <w:t>. Third, secondary medical area boundaries, land area and population density were obtained from the National Land Numerical Information medical-area dataset (A38-20)</w:t>
      </w:r>
      <w:r>
        <w:rPr>
          <w:rFonts w:ascii="Times New Roman" w:hAnsi="Times New Roman"/>
          <w:sz w:val="24"/>
        </w:rPr>
        <w:t>[13]</w:t>
      </w:r>
      <w:r>
        <w:rPr>
          <w:rFonts w:ascii="Times New Roman" w:hAnsi="Times New Roman"/>
          <w:sz w:val="24"/>
        </w:rPr>
        <w:t>.</w:t>
      </w:r>
    </w:p>
    <w:p>
      <w:pPr>
        <w:spacing w:before="160" w:after="80"/>
      </w:pPr>
      <w:r>
        <w:rPr>
          <w:rFonts w:ascii="Times New Roman" w:hAnsi="Times New Roman"/>
          <w:b/>
          <w:sz w:val="24"/>
        </w:rPr>
        <w:t>2.4 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as main technique); L003 (continuous epidural infusion, largely billed as adjunct to general anaesthesia); L004 (spinal anaesthesia); L009 (anaesthesia management fee I, a proxy for specialist staffing); and L100 (inpatient nerve block).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240" w:after="120"/>
      </w:pPr>
      <w:r>
        <w:rPr>
          <w:rFonts w:ascii="Times New Roman" w:hAnsi="Times New Roman"/>
          <w:b/>
          <w:sz w:val="24"/>
        </w:rPr>
        <w:t>Table 1. Anaesthesia procedure codes analysed across 335 secondary medical areas of Japan, fiscal year 2022.</w:t>
      </w:r>
    </w:p>
    <w:tbl>
      <w:tblPr>
        <w:tblStyle w:val="TableGrid"/>
        <w:tblW w:type="auto" w:w="0"/>
        <w:tblLook w:firstColumn="1" w:firstRow="1" w:lastColumn="0" w:lastRow="0" w:noHBand="0" w:noVBand="1" w:val="04A0"/>
      </w:tblPr>
      <w:tblGrid>
        <w:gridCol w:w="3009"/>
        <w:gridCol w:w="3009"/>
        <w:gridCol w:w="3009"/>
      </w:tblGrid>
      <w:tr>
        <w:tc>
          <w:tcPr>
            <w:tcW w:type="dxa" w:w="3009"/>
          </w:tcPr>
          <w:p>
            <w:r/>
            <w:r>
              <w:rPr>
                <w:rFonts w:ascii="Times New Roman" w:hAnsi="Times New Roman"/>
                <w:b/>
                <w:sz w:val="20"/>
              </w:rPr>
              <w:t>Code</w:t>
            </w:r>
          </w:p>
        </w:tc>
        <w:tc>
          <w:tcPr>
            <w:tcW w:type="dxa" w:w="3009"/>
          </w:tcPr>
          <w:p>
            <w:r/>
            <w:r>
              <w:rPr>
                <w:rFonts w:ascii="Times New Roman" w:hAnsi="Times New Roman"/>
                <w:b/>
                <w:sz w:val="20"/>
              </w:rPr>
              <w:t>Procedure</w:t>
            </w:r>
          </w:p>
        </w:tc>
        <w:tc>
          <w:tcPr>
            <w:tcW w:type="dxa" w:w="3009"/>
          </w:tcPr>
          <w:p>
            <w:r/>
            <w:r>
              <w:rPr>
                <w:rFonts w:ascii="Times New Roman" w:hAnsi="Times New Roman"/>
                <w:b/>
                <w:sz w:val="20"/>
              </w:rPr>
              <w:t>Notes</w:t>
            </w:r>
          </w:p>
        </w:tc>
      </w:tr>
      <w:tr>
        <w:tc>
          <w:tcPr>
            <w:tcW w:type="dxa" w:w="3009"/>
          </w:tcPr>
          <w:p>
            <w:r/>
            <w:r>
              <w:rPr>
                <w:rFonts w:ascii="Times New Roman" w:hAnsi="Times New Roman"/>
                <w:sz w:val="20"/>
              </w:rPr>
              <w:t>L008</w:t>
            </w:r>
          </w:p>
        </w:tc>
        <w:tc>
          <w:tcPr>
            <w:tcW w:type="dxa" w:w="3009"/>
          </w:tcPr>
          <w:p>
            <w:r/>
            <w:r>
              <w:rPr>
                <w:rFonts w:ascii="Times New Roman" w:hAnsi="Times New Roman"/>
                <w:sz w:val="20"/>
              </w:rPr>
              <w:t>General anaesthesia (closed-circuit)</w:t>
            </w:r>
          </w:p>
        </w:tc>
        <w:tc>
          <w:tcPr>
            <w:tcW w:type="dxa" w:w="3009"/>
          </w:tcPr>
          <w:p>
            <w:r/>
            <w:r>
              <w:rPr>
                <w:rFonts w:ascii="Times New Roman" w:hAnsi="Times New Roman"/>
                <w:sz w:val="20"/>
              </w:rPr>
              <w:t>Primary indicator of overall general anaesthesia volume</w:t>
            </w:r>
          </w:p>
        </w:tc>
      </w:tr>
      <w:tr>
        <w:tc>
          <w:tcPr>
            <w:tcW w:type="dxa" w:w="3009"/>
          </w:tcPr>
          <w:p>
            <w:r/>
            <w:r>
              <w:rPr>
                <w:rFonts w:ascii="Times New Roman" w:hAnsi="Times New Roman"/>
                <w:sz w:val="20"/>
              </w:rPr>
              <w:t>L004</w:t>
            </w:r>
          </w:p>
        </w:tc>
        <w:tc>
          <w:tcPr>
            <w:tcW w:type="dxa" w:w="3009"/>
          </w:tcPr>
          <w:p>
            <w:r/>
            <w:r>
              <w:rPr>
                <w:rFonts w:ascii="Times New Roman" w:hAnsi="Times New Roman"/>
                <w:sz w:val="20"/>
              </w:rPr>
              <w:t>Spinal anaesthesia</w:t>
            </w:r>
          </w:p>
        </w:tc>
        <w:tc>
          <w:tcPr>
            <w:tcW w:type="dxa" w:w="3009"/>
          </w:tcPr>
          <w:p>
            <w:r/>
            <w:r>
              <w:rPr>
                <w:rFonts w:ascii="Times New Roman" w:hAnsi="Times New Roman"/>
                <w:sz w:val="20"/>
              </w:rPr>
              <w:t>Regional technique</w:t>
            </w:r>
          </w:p>
        </w:tc>
      </w:tr>
      <w:tr>
        <w:tc>
          <w:tcPr>
            <w:tcW w:type="dxa" w:w="3009"/>
          </w:tcPr>
          <w:p>
            <w:r/>
            <w:r>
              <w:rPr>
                <w:rFonts w:ascii="Times New Roman" w:hAnsi="Times New Roman"/>
                <w:sz w:val="20"/>
              </w:rPr>
              <w:t>L002</w:t>
            </w:r>
          </w:p>
        </w:tc>
        <w:tc>
          <w:tcPr>
            <w:tcW w:type="dxa" w:w="3009"/>
          </w:tcPr>
          <w:p>
            <w:r/>
            <w:r>
              <w:rPr>
                <w:rFonts w:ascii="Times New Roman" w:hAnsi="Times New Roman"/>
                <w:sz w:val="20"/>
              </w:rPr>
              <w:t>Epidural anaesthesia as main technique</w:t>
            </w:r>
          </w:p>
        </w:tc>
        <w:tc>
          <w:tcPr>
            <w:tcW w:type="dxa" w:w="3009"/>
          </w:tcPr>
          <w:p>
            <w:r/>
            <w:r>
              <w:rPr>
                <w:rFonts w:ascii="Times New Roman" w:hAnsi="Times New Roman"/>
                <w:sz w:val="20"/>
              </w:rPr>
              <w:t>Regional technique claimed as the primary anaesthetic</w:t>
            </w:r>
          </w:p>
        </w:tc>
      </w:tr>
      <w:tr>
        <w:tc>
          <w:tcPr>
            <w:tcW w:type="dxa" w:w="3009"/>
          </w:tcPr>
          <w:p>
            <w:r/>
            <w:r>
              <w:rPr>
                <w:rFonts w:ascii="Times New Roman" w:hAnsi="Times New Roman"/>
                <w:sz w:val="20"/>
              </w:rPr>
              <w:t>L003</w:t>
            </w:r>
          </w:p>
        </w:tc>
        <w:tc>
          <w:tcPr>
            <w:tcW w:type="dxa" w:w="3009"/>
          </w:tcPr>
          <w:p>
            <w:r/>
            <w:r>
              <w:rPr>
                <w:rFonts w:ascii="Times New Roman" w:hAnsi="Times New Roman"/>
                <w:sz w:val="20"/>
              </w:rPr>
              <w:t>Continuous epidural infusion</w:t>
            </w:r>
          </w:p>
        </w:tc>
        <w:tc>
          <w:tcPr>
            <w:tcW w:type="dxa" w:w="3009"/>
          </w:tcPr>
          <w:p>
            <w:r/>
            <w:r>
              <w:rPr>
                <w:rFonts w:ascii="Times New Roman" w:hAnsi="Times New Roman"/>
                <w:sz w:val="20"/>
              </w:rPr>
              <w:t>Regional technique largely billed as adjunct to general anaesthesia</w:t>
            </w:r>
          </w:p>
        </w:tc>
      </w:tr>
      <w:tr>
        <w:tc>
          <w:tcPr>
            <w:tcW w:type="dxa" w:w="3009"/>
          </w:tcPr>
          <w:p>
            <w:r/>
            <w:r>
              <w:rPr>
                <w:rFonts w:ascii="Times New Roman" w:hAnsi="Times New Roman"/>
                <w:sz w:val="20"/>
              </w:rPr>
              <w:t>L009</w:t>
            </w:r>
          </w:p>
        </w:tc>
        <w:tc>
          <w:tcPr>
            <w:tcW w:type="dxa" w:w="3009"/>
          </w:tcPr>
          <w:p>
            <w:r/>
            <w:r>
              <w:rPr>
                <w:rFonts w:ascii="Times New Roman" w:hAnsi="Times New Roman"/>
                <w:sz w:val="20"/>
              </w:rPr>
              <w:t>Anaesthesia management fee I</w:t>
            </w:r>
          </w:p>
        </w:tc>
        <w:tc>
          <w:tcPr>
            <w:tcW w:type="dxa" w:w="3009"/>
          </w:tcPr>
          <w:p>
            <w:r/>
            <w:r>
              <w:rPr>
                <w:rFonts w:ascii="Times New Roman" w:hAnsi="Times New Roman"/>
                <w:sz w:val="20"/>
              </w:rPr>
              <w:t>Proxy for specialist anaesthesiologist staffing</w:t>
            </w:r>
          </w:p>
        </w:tc>
      </w:tr>
      <w:tr>
        <w:tc>
          <w:tcPr>
            <w:tcW w:type="dxa" w:w="3009"/>
          </w:tcPr>
          <w:p>
            <w:r/>
            <w:r>
              <w:rPr>
                <w:rFonts w:ascii="Times New Roman" w:hAnsi="Times New Roman"/>
                <w:sz w:val="20"/>
              </w:rPr>
              <w:t>L100</w:t>
            </w:r>
          </w:p>
        </w:tc>
        <w:tc>
          <w:tcPr>
            <w:tcW w:type="dxa" w:w="3009"/>
          </w:tcPr>
          <w:p>
            <w:r/>
            <w:r>
              <w:rPr>
                <w:rFonts w:ascii="Times New Roman" w:hAnsi="Times New Roman"/>
                <w:sz w:val="20"/>
              </w:rPr>
              <w:t>Nerve block, inpatient</w:t>
            </w:r>
          </w:p>
        </w:tc>
        <w:tc>
          <w:tcPr>
            <w:tcW w:type="dxa" w:w="3009"/>
          </w:tcPr>
          <w:p>
            <w:r/>
            <w:r>
              <w:rPr>
                <w:rFonts w:ascii="Times New Roman" w:hAnsi="Times New Roman"/>
                <w:sz w:val="20"/>
              </w:rPr>
              <w:t>Indicator of pain-clinic activity</w:t>
            </w:r>
          </w:p>
        </w:tc>
      </w:tr>
    </w:tbl>
    <w:p>
      <w:pPr>
        <w:spacing w:before="120" w:after="240"/>
      </w:pPr>
      <w:r>
        <w:rPr>
          <w:rFonts w:ascii="Times New Roman" w:hAnsi="Times New Roman"/>
          <w:i/>
          <w:sz w:val="24"/>
        </w:rPr>
        <w:t>Source: Japanese fee schedule (shinryo houshu tensuhyo), fiscal year 2022. Standardised claim ratios (national average = 100) were computed for each code by indirect age- and sex-standardisation.</w:t>
      </w:r>
    </w:p>
    <w:p>
      <w:pPr>
        <w:spacing w:before="160" w:after="80"/>
      </w:pPr>
      <w:r>
        <w:rPr>
          <w:rFonts w:ascii="Times New Roman" w:hAnsi="Times New Roman"/>
          <w:b/>
          <w:sz w:val="24"/>
        </w:rPr>
        <w:t>2.5 Statistical analysis</w:t>
      </w:r>
    </w:p>
    <w:p>
      <w:r>
        <w:rPr>
          <w:rFonts w:ascii="Times New Roman" w:hAnsi="Times New Roman"/>
          <w:sz w:val="24"/>
        </w:rPr>
        <w:t xml:space="preserve">We computed descriptive statistics for each standardised claim ratio (mean, standard deviation, median, interquartile range, minimum, maximum and coefficient of variation). To account for the nesting of secondary medical areas within prefectures, we fitted multilevel linear models with prefecture random intercepts and a binary fixed effect for university hospital presence, using restricted maximum likelihood. The null model intraclass correlation coefficient quantified the proportion of variance between prefectures, and the marginal </w:t>
      </w:r>
      <m:oMath>
        <m:sSup>
          <m:e>
            <m:r>
              <m:t xml:space="preserve">R</m:t>
            </m:r>
          </m:e>
          <m:sup>
            <m:r>
              <m:t xml:space="preserve">2</m:t>
            </m:r>
          </m:sup>
        </m:sSup>
      </m:oMath>
      <w:r>
        <w:rPr>
          <w:rFonts w:ascii="Times New Roman" w:hAnsi="Times New Roman"/>
          <w:sz w:val="24"/>
        </w:rPr>
        <w:t xml:space="preserve"> quantified the proportional reduction in total variance after adding the university-hospital fixed effect. We decomposed within-prefecture variance into components attributable to university-hospital presence and residual variation. We conducted three sensitivity analyses to test the audit hypothesis: within-prefecture paired comparisons of university and non-university areas; a covariate-adjusted model adding the natural logarithm of population density and the anaesthesiologist share of all physicians; and an empirical Bayes shrinkage stress-test of area-level ratios toward prefecture means. All analyses were performed in Python 3.10 using NumPy, Pandas, SciPy and Statsmodels.</w:t>
      </w:r>
    </w:p>
    <w:p>
      <w:pPr>
        <w:spacing w:before="240" w:after="120"/>
      </w:pPr>
      <w:r>
        <w:rPr>
          <w:rFonts w:ascii="Times New Roman" w:hAnsi="Times New Roman"/>
          <w:b/>
          <w:sz w:val="26"/>
        </w:rPr>
        <w:t>3. RESULTS</w:t>
      </w:r>
    </w:p>
    <w:p>
      <w:pPr>
        <w:spacing w:before="160" w:after="80"/>
      </w:pPr>
      <w:r>
        <w:rPr>
          <w:rFonts w:ascii="Times New Roman" w:hAnsi="Times New Roman"/>
          <w:b/>
          <w:sz w:val="24"/>
        </w:rPr>
        <w:t>3.1 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r>
        <w:tc>
          <w:tcPr>
            <w:tcW w:type="dxa" w:w="1289"/>
          </w:tcPr>
          <w:p>
            <w:r/>
            <w:r>
              <w:rPr>
                <w:rFonts w:ascii="Times New Roman" w:hAnsi="Times New Roman"/>
                <w:sz w:val="20"/>
              </w:rPr>
              <w:t>L009</w:t>
            </w:r>
          </w:p>
        </w:tc>
        <w:tc>
          <w:tcPr>
            <w:tcW w:type="dxa" w:w="1289"/>
          </w:tcPr>
          <w:p>
            <w:r/>
            <w:r>
              <w:rPr>
                <w:rFonts w:ascii="Times New Roman" w:hAnsi="Times New Roman"/>
                <w:sz w:val="20"/>
              </w:rPr>
              <w:t>314</w:t>
            </w:r>
          </w:p>
        </w:tc>
        <w:tc>
          <w:tcPr>
            <w:tcW w:type="dxa" w:w="1289"/>
          </w:tcPr>
          <w:p>
            <w:r/>
            <w:r>
              <w:rPr>
                <w:rFonts w:ascii="Times New Roman" w:hAnsi="Times New Roman"/>
                <w:sz w:val="20"/>
              </w:rPr>
              <w:t>87.3 (49.9)</w:t>
            </w:r>
          </w:p>
        </w:tc>
        <w:tc>
          <w:tcPr>
            <w:tcW w:type="dxa" w:w="1289"/>
          </w:tcPr>
          <w:p>
            <w:r/>
            <w:r>
              <w:rPr>
                <w:rFonts w:ascii="Times New Roman" w:hAnsi="Times New Roman"/>
                <w:sz w:val="20"/>
              </w:rPr>
              <w:t>78.9 (51.4-116.5)</w:t>
            </w:r>
          </w:p>
        </w:tc>
        <w:tc>
          <w:tcPr>
            <w:tcW w:type="dxa" w:w="1289"/>
          </w:tcPr>
          <w:p>
            <w:r/>
            <w:r>
              <w:rPr>
                <w:rFonts w:ascii="Times New Roman" w:hAnsi="Times New Roman"/>
                <w:sz w:val="20"/>
              </w:rPr>
              <w:t>0.1</w:t>
            </w:r>
          </w:p>
        </w:tc>
        <w:tc>
          <w:tcPr>
            <w:tcW w:type="dxa" w:w="1289"/>
          </w:tcPr>
          <w:p>
            <w:r/>
            <w:r>
              <w:rPr>
                <w:rFonts w:ascii="Times New Roman" w:hAnsi="Times New Roman"/>
                <w:sz w:val="20"/>
              </w:rPr>
              <w:t>392.2</w:t>
            </w:r>
          </w:p>
        </w:tc>
        <w:tc>
          <w:tcPr>
            <w:tcW w:type="dxa" w:w="1289"/>
          </w:tcPr>
          <w:p>
            <w:r/>
            <w:r>
              <w:rPr>
                <w:rFonts w:ascii="Times New Roman" w:hAnsi="Times New Roman"/>
                <w:sz w:val="20"/>
              </w:rPr>
              <w:t>57.2</w:t>
            </w:r>
          </w:p>
        </w:tc>
      </w:tr>
      <w:tr>
        <w:tc>
          <w:tcPr>
            <w:tcW w:type="dxa" w:w="1289"/>
          </w:tcPr>
          <w:p>
            <w:r/>
            <w:r>
              <w:rPr>
                <w:rFonts w:ascii="Times New Roman" w:hAnsi="Times New Roman"/>
                <w:sz w:val="20"/>
              </w:rPr>
              <w:t>L100</w:t>
            </w:r>
          </w:p>
        </w:tc>
        <w:tc>
          <w:tcPr>
            <w:tcW w:type="dxa" w:w="1289"/>
          </w:tcPr>
          <w:p>
            <w:r/>
            <w:r>
              <w:rPr>
                <w:rFonts w:ascii="Times New Roman" w:hAnsi="Times New Roman"/>
                <w:sz w:val="20"/>
              </w:rPr>
              <w:t>335</w:t>
            </w:r>
          </w:p>
        </w:tc>
        <w:tc>
          <w:tcPr>
            <w:tcW w:type="dxa" w:w="1289"/>
          </w:tcPr>
          <w:p>
            <w:r/>
            <w:r>
              <w:rPr>
                <w:rFonts w:ascii="Times New Roman" w:hAnsi="Times New Roman"/>
                <w:sz w:val="20"/>
              </w:rPr>
              <w:t>99.8 (77.1)</w:t>
            </w:r>
          </w:p>
        </w:tc>
        <w:tc>
          <w:tcPr>
            <w:tcW w:type="dxa" w:w="1289"/>
          </w:tcPr>
          <w:p>
            <w:r/>
            <w:r>
              <w:rPr>
                <w:rFonts w:ascii="Times New Roman" w:hAnsi="Times New Roman"/>
                <w:sz w:val="20"/>
              </w:rPr>
              <w:t>77.8 (43.7-125.9)</w:t>
            </w:r>
          </w:p>
        </w:tc>
        <w:tc>
          <w:tcPr>
            <w:tcW w:type="dxa" w:w="1289"/>
          </w:tcPr>
          <w:p>
            <w:r/>
            <w:r>
              <w:rPr>
                <w:rFonts w:ascii="Times New Roman" w:hAnsi="Times New Roman"/>
                <w:sz w:val="20"/>
              </w:rPr>
              <w:t>3.0</w:t>
            </w:r>
          </w:p>
        </w:tc>
        <w:tc>
          <w:tcPr>
            <w:tcW w:type="dxa" w:w="1289"/>
          </w:tcPr>
          <w:p>
            <w:r/>
            <w:r>
              <w:rPr>
                <w:rFonts w:ascii="Times New Roman" w:hAnsi="Times New Roman"/>
                <w:sz w:val="20"/>
              </w:rPr>
              <w:t>433.3</w:t>
            </w:r>
          </w:p>
        </w:tc>
        <w:tc>
          <w:tcPr>
            <w:tcW w:type="dxa" w:w="1289"/>
          </w:tcPr>
          <w:p>
            <w:r/>
            <w:r>
              <w:rPr>
                <w:rFonts w:ascii="Times New Roman" w:hAnsi="Times New Roman"/>
                <w:sz w:val="20"/>
              </w:rPr>
              <w:t>77.3</w:t>
            </w:r>
          </w:p>
        </w:tc>
      </w:tr>
    </w:tbl>
    <w:p>
      <w:pPr>
        <w:spacing w:before="120" w:after="240"/>
      </w:pPr>
      <w:r>
        <w:rPr>
          <w:rFonts w:ascii="Times New Roman" w:hAnsi="Times New Roman"/>
          <w:i/>
          <w:sz w:val="24"/>
        </w:rPr>
        <w:t>SD, standard deviation; IQR, interquartile range; CV, coefficient of variation. Areas with low claim volume are masked by the data provider and appear as missing values; the n column reflects the number of secondary medical areas with non-missing values for each code.</w:t>
      </w:r>
    </w:p>
    <w:p>
      <w:pPr>
        <w:spacing w:after="0"/>
      </w:pPr>
    </w:p>
    <w:p>
      <w:pPr>
        <w:spacing w:before="160" w:after="80"/>
      </w:pPr>
      <w:r>
        <w:rPr>
          <w:rFonts w:ascii="Times New Roman" w:hAnsi="Times New Roman"/>
          <w:b/>
          <w:sz w:val="24"/>
        </w:rPr>
        <w:t>3.2 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85.5%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w:t>
      </w:r>
      <m:oMath>
        <m:r>
          <m:t xml:space="preserve">marginal </m:t>
        </m:r>
        <m:sSup>
          <m:e>
            <m:r>
              <m:t xml:space="preserve">R</m:t>
            </m:r>
          </m:e>
          <m:sup>
            <m:r>
              <m:t xml:space="preserve">2</m:t>
            </m:r>
          </m:sup>
        </m:sSup>
        <m:r>
          <m:t xml:space="preserve"> </m:t>
        </m:r>
        <m:r>
          <m:t xml:space="preserve">0.358</m:t>
        </m:r>
      </m:oMath>
      <w:r>
        <w:rPr>
          <w:rFonts w:ascii="Times New Roman" w:hAnsi="Times New Roman"/>
          <w:sz w:val="24"/>
        </w:rPr>
        <w:t xml:space="preserve">; </w:t>
      </w:r>
      <m:oMath>
        <m:r>
          <m:t xml:space="preserve">β </m:t>
        </m:r>
        <m:r>
          <m:t xml:space="preserve">= </m:t>
        </m:r>
        <m:r>
          <m:t xml:space="preserve">64.1</m:t>
        </m:r>
        <m:r>
          <m:t xml:space="preserve">, </m:t>
        </m:r>
        <m:r>
          <m:t xml:space="preserve">95% confidence interval </m:t>
        </m:r>
        <m:r>
          <m:t xml:space="preserve">54.8 </m:t>
        </m:r>
        <m:r>
          <m:t xml:space="preserve">to </m:t>
        </m:r>
        <m:r>
          <m:t xml:space="preserve">73.4</m:t>
        </m:r>
      </m:oMath>
      <w:r>
        <w:rPr>
          <w:rFonts w:ascii="Times New Roman" w:hAnsi="Times New Roman"/>
          <w:sz w:val="24"/>
        </w:rPr>
        <w:t xml:space="preserve">) and was statistically significant for every code (all </w:t>
      </w:r>
      <m:oMath>
        <m:r>
          <m:t xml:space="preserve">P </m:t>
        </m:r>
        <m:r>
          <m:t xml:space="preserve">&lt;</m:t>
        </m:r>
        <m:r>
          <m:t xml:space="preserve">0.001</m:t>
        </m:r>
      </m:oMath>
      <w:r>
        <w:rPr>
          <w:rFonts w:ascii="Times New Roman" w:hAnsi="Times New Roman"/>
          <w:sz w:val="24"/>
        </w:rPr>
        <w:t xml:space="preserve">) (Table 3). University hospital areas had higher general anaesthesia ratios than non-university areas in 47 of 47 prefectures, with a mean within-prefecture difference of +63.3 points (paired </w:t>
      </w:r>
      <m:oMath>
        <m:r>
          <m:t xml:space="preserve">t </m:t>
        </m:r>
        <m:r>
          <m:t xml:space="preserve">= </m:t>
        </m:r>
        <m:r>
          <m:t xml:space="preserve">13.28</m:t>
        </m:r>
        <m:r>
          <m:t xml:space="preserve">, </m:t>
        </m:r>
        <m:r>
          <m:t xml:space="preserve">P </m:t>
        </m:r>
        <m:r>
          <m:t xml:space="preserve">&lt;</m:t>
        </m:r>
        <m:r>
          <m:t xml:space="preserve">0.001</m:t>
        </m:r>
      </m:oMath>
      <w:r>
        <w:rPr>
          <w:rFonts w:ascii="Times New Roman" w:hAnsi="Times New Roman"/>
          <w:sz w:val="24"/>
        </w:rPr>
        <w:t>) (Figure 2A). Cohen's d for the university hospital effect on general anaesthesia was 1.88; on continuous epidural infusion 1.12; on epidural anaesthesia 0.59; and on spinal anaesthesia 0.40. A combined measure capturing the general-anaesthesia plus continuous-epidural workflow (mean of L008 and L003 SCR; 331 areas with data for both codes) showed a coefficient of variation of 55.5% and preserved a large university hospital effect (</w:t>
      </w:r>
      <m:oMath>
        <m:r>
          <m:t xml:space="preserve">Cohen's d </m:t>
        </m:r>
        <m:r>
          <m:t xml:space="preserve">1.55</m:t>
        </m:r>
      </m:oMath>
      <w:r>
        <w:rPr>
          <w:rFonts w:ascii="Times New Roman" w:hAnsi="Times New Roman"/>
          <w:sz w:val="24"/>
        </w:rPr>
        <w:t>; university mean 130.3 versus non-university 70.2) (Figure 2B).</w:t>
      </w:r>
    </w:p>
    <w:p>
      <w:pPr>
        <w:spacing w:before="240" w:after="120"/>
      </w:pPr>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r>
            <m:oMath>
              <m:r>
                <m:t xml:space="preserve">β</m:t>
              </m:r>
            </m:oMath>
            <w:r>
              <w:rPr>
                <w:rFonts w:ascii="Times New Roman" w:hAnsi="Times New Roman"/>
                <w:b/>
                <w:sz w:val="20"/>
              </w:rPr>
              <w:t xml:space="preserve">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 xml:space="preserve">Marginal </w:t>
            </w:r>
            <m:oMath>
              <m:sSup>
                <m:e>
                  <m:r>
                    <m:t xml:space="preserve">R</m:t>
                  </m:r>
                </m:e>
                <m:sup>
                  <m:r>
                    <m:t xml:space="preserve">2</m:t>
                  </m:r>
                </m:sup>
              </m:sSup>
            </m:oMath>
            <w:r>
              <w:rPr>
                <w:rFonts w:ascii="Times New Roman" w:hAnsi="Times New Roman"/>
                <w:b/>
                <w:sz w:val="20"/>
              </w:rPr>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r>
      <m:oMath>
        <m:r>
          <m:t xml:space="preserve">β</m:t>
        </m:r>
      </m:oMath>
      <w:r>
        <w:rPr>
          <w:rFonts w:ascii="Times New Roman" w:hAnsi="Times New Roman"/>
          <w:i/>
          <w:sz w:val="24"/>
        </w:rPr>
        <w:t xml:space="preserve"> university, fixed effect coefficient for university hospital presence (binary 0/1); CI, confidence interval; ICC, intraclass correlation coefficient (proportion of variance attributable to prefecture level in the null random-intercept model); Marginal </w:t>
      </w:r>
      <m:oMath>
        <m:sSup>
          <m:e>
            <m:r>
              <m:t xml:space="preserve">R</m:t>
            </m:r>
          </m:e>
          <m:sup>
            <m:r>
              <m:t xml:space="preserve">2</m:t>
            </m:r>
          </m:sup>
        </m:sSup>
      </m:oMath>
      <w:r>
        <w:rPr>
          <w:rFonts w:ascii="Times New Roman" w:hAnsi="Times New Roman"/>
          <w:i/>
          <w:sz w:val="24"/>
        </w:rPr>
        <w:t>, proportional reduction in total (prefecture + residual) variance from the null model after adding the university hospital fixed effect. Models were estimated by restricted maximum likelihood.</w:t>
      </w: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w:t>
      </w:r>
      <m:oMath>
        <m:r>
          <m:t xml:space="preserve">β </m:t>
        </m:r>
        <m:r>
          <m:t xml:space="preserve">= </m:t>
        </m:r>
        <m:r>
          <m:t xml:space="preserve">+41.8</m:t>
        </m:r>
        <m:r>
          <m:t xml:space="preserve">, </m:t>
        </m:r>
        <m:r>
          <m:t xml:space="preserve">95% CI </m:t>
        </m:r>
        <m:r>
          <m:t xml:space="preserve">32.4 </m:t>
        </m:r>
        <m:r>
          <m:t xml:space="preserve">to </m:t>
        </m:r>
        <m:r>
          <m:t xml:space="preserve">51.2</m:t>
        </m:r>
        <m:r>
          <m:t xml:space="preserve">, </m:t>
        </m:r>
        <m:r>
          <m:t xml:space="preserve">P </m:t>
        </m:r>
        <m:r>
          <m:t xml:space="preserve">&lt;</m:t>
        </m:r>
        <m:r>
          <m:t xml:space="preserve">0.001</m:t>
        </m:r>
      </m:oMath>
      <w:r>
        <w:rPr>
          <w:rFonts w:ascii="Times New Roman" w:hAnsi="Times New Roman"/>
          <w:sz w:val="24"/>
        </w:rPr>
        <w:t>), epidural anaesthesia (</w:t>
      </w:r>
      <m:oMath>
        <m:r>
          <m:t xml:space="preserve">β </m:t>
        </m:r>
        <m:r>
          <m:t xml:space="preserve">= </m:t>
        </m:r>
        <m:r>
          <m:t xml:space="preserve">+39.1</m:t>
        </m:r>
        <m:r>
          <m:t xml:space="preserve">, </m:t>
        </m:r>
        <m:r>
          <m:t xml:space="preserve">95% CI </m:t>
        </m:r>
        <m:r>
          <m:t xml:space="preserve">14.5 </m:t>
        </m:r>
        <m:r>
          <m:t xml:space="preserve">to </m:t>
        </m:r>
        <m:r>
          <m:t xml:space="preserve">63.7</m:t>
        </m:r>
        <m:r>
          <m:t xml:space="preserve">, </m:t>
        </m:r>
        <m:r>
          <m:t xml:space="preserve">P </m:t>
        </m:r>
        <m:r>
          <m:t xml:space="preserve">0.002</m:t>
        </m:r>
      </m:oMath>
      <w:r>
        <w:rPr>
          <w:rFonts w:ascii="Times New Roman" w:hAnsi="Times New Roman"/>
          <w:sz w:val="24"/>
        </w:rPr>
        <w:t>) and continuous epidural infusion (</w:t>
      </w:r>
      <m:oMath>
        <m:r>
          <m:t xml:space="preserve">β </m:t>
        </m:r>
        <m:r>
          <m:t xml:space="preserve">= </m:t>
        </m:r>
        <m:r>
          <m:t xml:space="preserve">+33.9</m:t>
        </m:r>
        <m:r>
          <m:t xml:space="preserve">, </m:t>
        </m:r>
        <m:r>
          <m:t xml:space="preserve">95% CI </m:t>
        </m:r>
        <m:r>
          <m:t xml:space="preserve">20.0 </m:t>
        </m:r>
        <m:r>
          <m:t xml:space="preserve">to </m:t>
        </m:r>
        <m:r>
          <m:t xml:space="preserve">47.7</m:t>
        </m:r>
        <m:r>
          <m:t xml:space="preserve">, </m:t>
        </m:r>
        <m:r>
          <m:t xml:space="preserve">P </m:t>
        </m:r>
        <m:r>
          <m:t xml:space="preserve">&lt;</m:t>
        </m:r>
        <m:r>
          <m:t xml:space="preserve">0.001</m:t>
        </m:r>
      </m:oMath>
      <w:r>
        <w:rPr>
          <w:rFonts w:ascii="Times New Roman" w:hAnsi="Times New Roman"/>
          <w:sz w:val="24"/>
        </w:rPr>
        <w:t>). For spinal anaesthesia the point estimate was positive but no longer statistically significant (</w:t>
      </w:r>
      <m:oMath>
        <m:r>
          <m:t xml:space="preserve">β </m:t>
        </m:r>
        <m:r>
          <m:t xml:space="preserve">= </m:t>
        </m:r>
        <m:r>
          <m:t xml:space="preserve">+9.7</m:t>
        </m:r>
        <m:r>
          <m:t xml:space="preserve">, </m:t>
        </m:r>
        <m:r>
          <m:t xml:space="preserve">95% CI </m:t>
        </m:r>
        <m:r>
          <m:t xml:space="preserve">-4.0 </m:t>
        </m:r>
        <m:r>
          <m:t xml:space="preserve">to </m:t>
        </m:r>
        <m:r>
          <m:t xml:space="preserve">23.3</m:t>
        </m:r>
        <m:r>
          <m:t xml:space="preserve">, </m:t>
        </m:r>
        <m:r>
          <m:t xml:space="preserve">P </m:t>
        </m:r>
        <m:r>
          <m:t xml:space="preserve">0.165</m:t>
        </m:r>
      </m:oMath>
      <w:r>
        <w:rPr>
          <w:rFonts w:ascii="Times New Roman" w:hAnsi="Times New Roman"/>
          <w:sz w:val="24"/>
        </w:rPr>
        <w:t>). Population density was positively associated with general anaesthesia ratios (</w:t>
      </w:r>
      <m:oMath>
        <m:r>
          <m:t xml:space="preserve">β </m:t>
        </m:r>
        <m:r>
          <m:t xml:space="preserve">= </m:t>
        </m:r>
        <m:r>
          <m:t xml:space="preserve">8.3</m:t>
        </m:r>
        <m:r>
          <m:t xml:space="preserve">, </m:t>
        </m:r>
        <m:r>
          <m:t xml:space="preserve">P </m:t>
        </m:r>
        <m:r>
          <m:t xml:space="preserve">&lt;</m:t>
        </m:r>
        <m:r>
          <m:t xml:space="preserve">0.001</m:t>
        </m:r>
      </m:oMath>
      <w:r>
        <w:rPr>
          <w:rFonts w:ascii="Times New Roman" w:hAnsi="Times New Roman"/>
          <w:sz w:val="24"/>
        </w:rPr>
        <w:t>) but not with the other three codes. The anaesthesiologist share was positively associated with general, epidural, continuous epidural and spinal anaesthesia (</w:t>
      </w:r>
      <m:oMath>
        <m:r>
          <m:t xml:space="preserve">P </m:t>
        </m:r>
        <m:r>
          <m:t xml:space="preserve">&lt;</m:t>
        </m:r>
        <m:r>
          <m:t xml:space="preserve">0.001</m:t>
        </m:r>
      </m:oMath>
      <w:r>
        <w:rPr>
          <w:rFonts w:ascii="Times New Roman" w:hAnsi="Times New Roman"/>
          <w:sz w:val="24"/>
        </w:rPr>
        <w:t>, 0.039, &lt;0.001 and 0.005, respectively). The covariate-adjusted mixed models produced optimizer-convergence warnings in Statsmodels</w:t>
      </w:r>
      <w:r>
        <w:rPr>
          <w:rFonts w:ascii="Times New Roman" w:hAnsi="Times New Roman"/>
          <w:sz w:val="24"/>
        </w:rPr>
        <w:t>[14]</w:t>
      </w:r>
      <w:r>
        <w:rPr>
          <w:rFonts w:ascii="Times New Roman" w:hAnsi="Times New Roman"/>
          <w:sz w:val="24"/>
        </w:rPr>
        <w:t>; we therefore refitted them with the lbfgs and cg optimisers, and the point estimates remained stable across optimisers and sensitivity analyses.</w:t>
      </w:r>
    </w:p>
    <w:p>
      <w:pPr>
        <w:spacing w:after="0"/>
      </w:pPr>
    </w:p>
    <w:p>
      <w:pPr>
        <w:spacing w:before="160" w:after="80"/>
      </w:pPr>
      <w:r>
        <w:rPr>
          <w:rFonts w:ascii="Times New Roman" w:hAnsi="Times New Roman"/>
          <w:b/>
          <w:sz w:val="24"/>
        </w:rPr>
        <w:t>3.3 Sensitivity analyses against the audit hypothesis</w:t>
      </w:r>
    </w:p>
    <w:p>
      <w:r>
        <w:rPr>
          <w:rFonts w:ascii="Times New Roman" w:hAnsi="Times New Roman"/>
          <w:sz w:val="24"/>
        </w:rPr>
        <w:t>All three pre-specified sensitivity analyses pointed away from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w:t>
      </w:r>
      <m:oMath>
        <m:r>
          <m:t xml:space="preserve">r </m:t>
        </m:r>
        <m:r>
          <m:t xml:space="preserve">= </m:t>
        </m:r>
        <m:r>
          <m:t xml:space="preserve">0.235</m:t>
        </m:r>
        <m:r>
          <m:t xml:space="preserve">, </m:t>
        </m:r>
        <m:r>
          <m:t xml:space="preserve">P </m:t>
        </m:r>
        <m:r>
          <m:t xml:space="preserve">&lt;</m:t>
        </m:r>
        <m:r>
          <m:t xml:space="preserve">0.001</m:t>
        </m:r>
      </m:oMath>
      <w:r>
        <w:rPr>
          <w:rFonts w:ascii="Times New Roman" w:hAnsi="Times New Roman"/>
          <w:sz w:val="24"/>
        </w:rPr>
        <w:t>), as were general and epidural anaesthesia (</w:t>
      </w:r>
      <m:oMath>
        <m:r>
          <m:t xml:space="preserve">r </m:t>
        </m:r>
        <m:r>
          <m:t xml:space="preserve">= </m:t>
        </m:r>
        <m:r>
          <m:t xml:space="preserve">0.319</m:t>
        </m:r>
        <m:r>
          <m:t xml:space="preserve">, </m:t>
        </m:r>
        <m:r>
          <m:t xml:space="preserve">P </m:t>
        </m:r>
        <m:r>
          <m:t xml:space="preserve">&lt;</m:t>
        </m:r>
        <m:r>
          <m:t xml:space="preserve">0.001</m:t>
        </m:r>
      </m:oMath>
      <w:r>
        <w:rPr>
          <w:rFonts w:ascii="Times New Roman" w:hAnsi="Times New Roman"/>
          <w:sz w:val="24"/>
        </w:rPr>
        <w:t>), inconsistent with audit-driven reclassification and consistent with a common supply factor. Third, the maximum prefectural audit-rate difference of 0.28 percentage points could produce a ratio shift of approximately 0.28 points, equivalent to approximately 0.53% of the observed interquartile range for general anaesthesia and 0.27% for epidural anaesthesia. Combining general (L008) and spinal (L004) ratios produced an alternative audit-insensitive measure with a coefficient of variation of 43.4% and a university hospital effect that remained large (</w:t>
      </w:r>
      <m:oMath>
        <m:r>
          <m:t xml:space="preserve">Cohen's d </m:t>
        </m:r>
        <m:r>
          <m:t xml:space="preserve">1.26</m:t>
        </m:r>
      </m:oMath>
      <w:r>
        <w:rPr>
          <w:rFonts w:ascii="Times New Roman" w:hAnsi="Times New Roman"/>
          <w:sz w:val="24"/>
        </w:rPr>
        <w:t>), confirming that the structural effect is not artefactually erased by combining reclassifiable codes.</w:t>
      </w:r>
    </w:p>
    <w:p>
      <w:pPr>
        <w:spacing w:before="160" w:after="80"/>
      </w:pPr>
      <w:r>
        <w:rPr>
          <w:rFonts w:ascii="Times New Roman" w:hAnsi="Times New Roman"/>
          <w:b/>
          <w:sz w:val="24"/>
        </w:rPr>
        <w:t>3.4 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3,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4. DISCUSSION</w:t>
      </w:r>
    </w:p>
    <w:p>
      <w:pPr>
        <w:spacing w:before="160" w:after="80"/>
      </w:pPr>
      <w:r>
        <w:rPr>
          <w:rFonts w:ascii="Times New Roman" w:hAnsi="Times New Roman"/>
          <w:b/>
          <w:sz w:val="24"/>
        </w:rPr>
        <w:t>4.1 Statement of principal findings</w:t>
      </w:r>
    </w:p>
    <w:p>
      <w:r>
        <w:rPr>
          <w:rFonts w:ascii="Times New Roman" w:hAnsi="Times New Roman"/>
          <w:sz w:val="24"/>
        </w:rPr>
        <w:t>Regional variation in anaesthesia practice across Japan's 335 secondary medical areas is large and predominantly structural. University hospital presence explained the largest share of variance for general anaesthesia and was positive in every prefecture, while the proportion of variance attributable to prefecture-level factors -- where audit intensity differs -- was small. Three independent sensitivity analyses each pointed away from differential auditing as the main explanation. Because the outcome is a reimbursed claim ratio, the observed gradient captures service delivery rather than bedside practice directly; however, the within-prefecture structure of the data and the audit-sensitivity analyses make it unlikely that the entire pattern is an artefact of differential scrutiny. The remaining variation is therefore best interpreted as a geographic pattern in the provision of potentially beneficial anaesthesia services.</w:t>
      </w:r>
    </w:p>
    <w:p>
      <w:pPr>
        <w:spacing w:before="160" w:after="80"/>
      </w:pPr>
      <w:r>
        <w:rPr>
          <w:rFonts w:ascii="Times New Roman" w:hAnsi="Times New Roman"/>
          <w:b/>
          <w:sz w:val="24"/>
        </w:rPr>
        <w:t>4.2 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rPr>
        <w:t>[15]</w:t>
      </w:r>
      <w:r>
        <w:rPr>
          <w:rFonts w:ascii="Times New Roman" w:hAnsi="Times New Roman"/>
          <w:sz w:val="24"/>
        </w:rPr>
        <w:t>;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We could not access code-specific audit rates, so the audit-sensitivity bound relies on the aggregate prefectural audit differential.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4.3 International generalizability and clinical relevance</w:t>
      </w:r>
    </w:p>
    <w:p>
      <w:r>
        <w:rPr>
          <w:rFonts w:ascii="Times New Roman" w:hAnsi="Times New Roman"/>
          <w:sz w:val="24"/>
        </w:rPr>
        <w:t>Our findings fit the broader medical practice-variation literature. The Dartmouth Atlas project documented extensive regional variation in surgical rates in the United States, driven primarily by physician supply and practice style</w:t>
      </w:r>
      <w:r>
        <w:rPr>
          <w:rFonts w:ascii="Times New Roman" w:hAnsi="Times New Roman"/>
          <w:sz w:val="24"/>
        </w:rPr>
        <w:t>[16]</w:t>
      </w:r>
      <w:r>
        <w:rPr>
          <w:rFonts w:ascii="Times New Roman" w:hAnsi="Times New Roman"/>
          <w:sz w:val="24"/>
        </w:rPr>
        <w:t>. Comparable patterns have been described for the National Health Service in England</w:t>
      </w:r>
      <w:r>
        <w:rPr>
          <w:rFonts w:ascii="Times New Roman" w:hAnsi="Times New Roman"/>
          <w:sz w:val="24"/>
        </w:rPr>
        <w:t>[17]</w:t>
      </w:r>
      <w:r>
        <w:rPr>
          <w:rFonts w:ascii="Times New Roman" w:hAnsi="Times New Roman"/>
          <w:sz w:val="24"/>
        </w:rPr>
        <w:t>, Germany</w:t>
      </w:r>
      <w:r>
        <w:rPr>
          <w:rFonts w:ascii="Times New Roman" w:hAnsi="Times New Roman"/>
          <w:sz w:val="24"/>
        </w:rPr>
        <w:t>[18]</w:t>
      </w:r>
      <w:r>
        <w:rPr>
          <w:rFonts w:ascii="Times New Roman" w:hAnsi="Times New Roman"/>
          <w:sz w:val="24"/>
        </w:rPr>
        <w:t xml:space="preserve"> and Australia</w:t>
      </w:r>
      <w:r>
        <w:rPr>
          <w:rFonts w:ascii="Times New Roman" w:hAnsi="Times New Roman"/>
          <w:sz w:val="24"/>
        </w:rPr>
        <w:t>[19]</w:t>
      </w:r>
      <w:r>
        <w:rPr>
          <w:rFonts w:ascii="Times New Roman" w:hAnsi="Times New Roman"/>
          <w:sz w:val="24"/>
        </w:rPr>
        <w:t>. Our study extends this evidence by exploiting Japan's uniform fee schedule combined with prefecture-specific auditing to disentangle administrative and structural sources of variation, and, to our knowledge, is the first multilevel small-area analysis of anaesthesia technique under universal coverage in East Asia. The university hospital effect we report (</w:t>
      </w:r>
      <m:oMath>
        <m:r>
          <m:t xml:space="preserve">Cohen's d </m:t>
        </m:r>
        <m:r>
          <m:t xml:space="preserve">= </m:t>
        </m:r>
        <m:r>
          <m:t xml:space="preserve">1.88</m:t>
        </m:r>
      </m:oMath>
      <w:r>
        <w:rPr>
          <w:rFonts w:ascii="Times New Roman" w:hAnsi="Times New Roman"/>
          <w:sz w:val="24"/>
        </w:rPr>
        <w:t>) is substantial, plausibly reflecting the influence of the ikyoku (university medical office) system on practice in affiliated hospitals</w:t>
      </w:r>
      <w:r>
        <w:rPr>
          <w:rFonts w:ascii="Times New Roman" w:hAnsi="Times New Roman"/>
          <w:sz w:val="24"/>
        </w:rPr>
        <w:t>[20]</w:t>
      </w:r>
      <w:r>
        <w:rPr>
          <w:rFonts w:ascii="Times New Roman" w:hAnsi="Times New Roman"/>
          <w:sz w:val="24"/>
        </w:rPr>
        <w:t>.</w:t>
      </w:r>
    </w:p>
    <w:p>
      <w:r>
        <w:rPr>
          <w:rFonts w:ascii="Times New Roman" w:hAnsi="Times New Roman"/>
          <w:sz w:val="24"/>
        </w:rPr>
        <w:t>The natural experiment used here depends on two institutional features: a uniform national fee schedule that eliminates price variation, and regionally devolved claims auditing that makes within-region audit policy homogeneous while allowing it to differ between regions. Both features are present in several high-income universal-coverage systems, including Taiwan's National Health Insurance</w:t>
      </w:r>
      <w:r>
        <w:rPr>
          <w:rFonts w:ascii="Times New Roman" w:hAnsi="Times New Roman"/>
          <w:sz w:val="24"/>
        </w:rPr>
        <w:t>[21]</w:t>
      </w:r>
      <w:r>
        <w:rPr>
          <w:rFonts w:ascii="Times New Roman" w:hAnsi="Times New Roman"/>
          <w:sz w:val="24"/>
        </w:rPr>
        <w:t>, South Korea's National Health Insurance Service, and the tariff-based systems of Germany, France and the English National Health Service</w:t>
      </w:r>
      <w:r>
        <w:rPr>
          <w:rFonts w:ascii="Times New Roman" w:hAnsi="Times New Roman"/>
          <w:sz w:val="24"/>
        </w:rPr>
        <w:t>[17,18]</w:t>
      </w:r>
      <w:r>
        <w:rPr>
          <w:rFonts w:ascii="Times New Roman" w:hAnsi="Times New Roman"/>
          <w:sz w:val="24"/>
        </w:rPr>
        <w:t>. In these settings the within-region variance decomposition and audit-sensitivity bound are directly transportable. In countries without universal health coverage, or where reimbursement varies by insurer, state or facility, price and insurance-status differences confound any comparison of regional claims rates, so the audit hypothesis cannot be isolated. The broader framework of decomposing small-area variation into structural versus institutional-artefact components can still be applied if comparable data exist, but the audit-specific interpretation must be calibrated to local reimbursement and auditing arrangements.</w:t>
      </w:r>
    </w:p>
    <w:p>
      <w:r>
        <w:rPr>
          <w:rFonts w:ascii="Times New Roman" w:hAnsi="Times New Roman"/>
          <w:sz w:val="24"/>
        </w:rPr>
        <w:t>For clinical anaesthesia practice, the finding that university-hospital areas use more neuraxial and combined techniques has direct perioperative implications. Neuraxial anaesthesia and epidural analgesia are associated with reduced postoperative opioid consumption, lower postoperative nausea and vomiting, and faster recovery in selected populations</w:t>
      </w:r>
      <w:r>
        <w:rPr>
          <w:rFonts w:ascii="Times New Roman" w:hAnsi="Times New Roman"/>
          <w:sz w:val="24"/>
        </w:rPr>
        <w:t>[4-6]</w:t>
      </w:r>
      <w:r>
        <w:rPr>
          <w:rFonts w:ascii="Times New Roman" w:hAnsi="Times New Roman"/>
          <w:sz w:val="24"/>
        </w:rPr>
        <w:t>. Geographic variation in these techniques therefore translates into variation in potentially modifiable patient outcomes, not merely variation in billing. Because the observed gradient is not explained by differential auditing, interventions should target workforce distribution, training and organisational capacity rather than coding compliance.</w:t>
      </w:r>
    </w:p>
    <w:p>
      <w:pPr>
        <w:spacing w:before="160" w:after="80"/>
      </w:pPr>
      <w:r>
        <w:rPr>
          <w:rFonts w:ascii="Times New Roman" w:hAnsi="Times New Roman"/>
          <w:b/>
          <w:sz w:val="24"/>
        </w:rPr>
        <w:t>4.4 Implications for perioperative practice and policy</w:t>
      </w:r>
    </w:p>
    <w:p>
      <w:r>
        <w:rPr>
          <w:rFonts w:ascii="Times New Roman" w:hAnsi="Times New Roman"/>
          <w:sz w:val="24"/>
        </w:rPr>
        <w:t>Three implications follow from these findings.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signals a potential equity gap: patients' access to techniques that may improve recovery should not depend on whether they live near a university hospital. Third, regulators should focus on workforce and organisational determinants of anaesthesia service delivery rather than treating low regional ratios primarily as coding or fraud problems. The variance-decomposition framework is transferable to other procedures and to systems with a national fee schedule and regional audit variation, but the audit-specific interpretation is limited in settings where fee and insurance structures are heterogeneous.</w:t>
      </w:r>
    </w:p>
    <w:p>
      <w:pPr>
        <w:spacing w:before="240" w:after="120"/>
      </w:pPr>
      <w:r>
        <w:rPr>
          <w:rFonts w:ascii="Times New Roman" w:hAnsi="Times New Roman"/>
          <w:b/>
          <w:sz w:val="26"/>
        </w:rPr>
        <w:t>5. CONCLUSIONS</w:t>
      </w:r>
    </w:p>
    <w:p>
      <w:r>
        <w:rPr>
          <w:rFonts w:ascii="Times New Roman" w:hAnsi="Times New Roman"/>
          <w:sz w:val="24"/>
        </w:rPr>
        <w:t>Regional variation in anaesthesia practice under universal coverage in Japan is large and predominantly structural, driven by access to university hospitals rather than by prefectural claims auditing. The pattern is best interpreted as a documented-service-delivery gradient with potentially inequitable access to neuraxial techniques. In countries without universal coverage or with heterogeneous reimbursement, the audit hypothesis cannot be isolated, although the structural-access framework can be adapted if comparable data exist. Perioperative surveillance of small-area variation should separate administrative from structural sources before interpreting claims data as care variation or as coding quality.</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6.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7.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8.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9.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10.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11.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12.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13.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14.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15.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16.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17.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18.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19.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20.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21. </w:t>
      </w:r>
      <w:r>
        <w:rPr>
          <w:rFonts w:ascii="Times New Roman" w:hAnsi="Times New Roman"/>
          <w:sz w:val="24"/>
        </w:rPr>
        <w:t>Cheng T-M. Taiwan's new national health insurance program: genesis and experience so far. Health Aff (Millwood) 2003;22:61-76.</w:t>
      </w:r>
    </w:p>
    <w:p>
      <w:pPr>
        <w:spacing w:before="240" w:after="120"/>
      </w:pPr>
      <w:r>
        <w:rPr>
          <w:rFonts w:ascii="Times New Roman" w:hAnsi="Times New Roman"/>
          <w:b/>
          <w:sz w:val="26"/>
        </w:rPr>
        <w:t>FIGURE LEGENDS</w:t>
      </w:r>
    </w:p>
    <w:p>
      <w:pPr>
        <w:spacing w:before="120" w:after="240"/>
      </w:pPr>
      <w:r>
        <w:rPr>
          <w:rFonts w:ascii="Times New Roman" w:hAnsi="Times New Roman"/>
          <w:sz w:val="24"/>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before="120" w:after="240"/>
      </w:pPr>
      <w:r>
        <w:rPr>
          <w:rFonts w:ascii="Times New Roman" w:hAnsi="Times New Roman"/>
          <w:sz w:val="24"/>
        </w:rPr>
        <w:t>Figure 2. University hospital presence and the combined general-anaesthesia plus continuous-epidural measure. (A) Distribution of secondary medical areas containing at least one university hospital (n = 64 of 335; red). (B) Choropleth map of the combined general-anaesthesia plus continuous-epidural standardised claim ratio (mean of L008 and L003 SCR; 331 areas with data for both codes), shaded by quintile. Red circles mark secondary medical areas containing at least one university hospital. Areas masked by the data provider for either code are shown in grey.</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