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  <w:jc w:val="left"/>
      </w:pPr>
      <w:r>
        <w:rPr>
          <w:rFonts w:ascii="MS Mincho" w:hAnsi="MS Mincho" w:eastAsia="MS Mincho"/>
          <w:b/>
          <w:sz w:val="26"/>
        </w:rPr>
        <w:t>拒絶理由通知への対応方針（出願人控え）</w:t>
      </w:r>
    </w:p>
    <w:p>
      <w:pPr>
        <w:spacing w:after="80" w:line="360" w:lineRule="exact"/>
        <w:jc w:val="both"/>
      </w:pPr>
      <w:r>
        <w:rPr>
          <w:rFonts w:ascii="MS Mincho" w:hAnsi="MS Mincho" w:eastAsia="MS Mincho"/>
          <w:b/>
          <w:sz w:val="22"/>
        </w:rPr>
        <w:t>本書類は出願書類には含めない。審査官対応の際の方針として記録する。</w:t>
      </w:r>
    </w:p>
    <w:p>
      <w:pPr>
        <w:spacing w:before="200" w:after="120"/>
        <w:jc w:val="left"/>
      </w:pPr>
      <w:r>
        <w:rPr>
          <w:rFonts w:ascii="MS Mincho" w:hAnsi="MS Mincho" w:eastAsia="MS Mincho"/>
          <w:b/>
          <w:sz w:val="22"/>
        </w:rPr>
        <w:t>§1. 進歩性拒絶（特許法29条2項）への対応</w:t>
      </w:r>
    </w:p>
    <w:p>
      <w:pPr>
        <w:spacing w:after="80" w:line="360" w:lineRule="exact"/>
        <w:jc w:val="both"/>
      </w:pPr>
      <w:r>
        <w:rPr>
          <w:rFonts w:ascii="MS Mincho" w:hAnsi="MS Mincho" w:eastAsia="MS Mincho"/>
          <w:b w:val="0"/>
          <w:sz w:val="22"/>
        </w:rPr>
        <w:t>想定される引用例の組み合わせ:</w:t>
        <w:br/>
        <w:t>・引用文献1: 特許文献2（AVACEN）— AVA拡張による降圧の概念</w:t>
        <w:br/>
        <w:t>・引用文献2: 非特許文献3（Ribeiro 2022）— PBMによるNO放出→降圧</w:t>
        <w:br/>
        <w:t>・審査官の論理: 「引用文献1のAVA拡張を、引用文献2のPBMで実現することは当業者が容易に想到し得る」</w:t>
        <w:br/>
        <w:br/>
        <w:t>反論方針:</w:t>
        <w:br/>
        <w:t>(i) 動機付けの欠如: Ribeiroはラットの尾動脈に全身照射した実験であり、「手掌glabrous skinのAVAにPBMを適用する」という技術思想は記載されていない。AVACENはPBMを一切使用しておらず、光化学的NO放出への言及がない。</w:t>
        <w:br/>
        <w:t>(ii) 阻害要因: AVACENは陰圧が「AVA拡張に必須」としており、陰圧を排除して光照射のみでAVA拡張を達成するという技術思想は、引用文献1の教示に反する（阻害要因）。</w:t>
        <w:br/>
        <w:t>(iii) 予測できない顕著な効果: パルス照射制御による持続4時間の効果維持、寒冷昇圧の予防的抑制、消費電力25分の1以下でのウェアラブル化。</w:t>
      </w:r>
    </w:p>
    <w:p>
      <w:pPr>
        <w:spacing w:before="200" w:after="120"/>
        <w:jc w:val="left"/>
      </w:pPr>
      <w:r>
        <w:rPr>
          <w:rFonts w:ascii="MS Mincho" w:hAnsi="MS Mincho" w:eastAsia="MS Mincho"/>
          <w:b/>
          <w:sz w:val="22"/>
        </w:rPr>
        <w:t>§2. 新規性拒絶（特許法29条1項）への対応</w:t>
      </w:r>
    </w:p>
    <w:p>
      <w:pPr>
        <w:spacing w:after="80" w:line="360" w:lineRule="exact"/>
        <w:jc w:val="both"/>
      </w:pPr>
      <w:r>
        <w:rPr>
          <w:rFonts w:ascii="MS Mincho" w:hAnsi="MS Mincho" w:eastAsia="MS Mincho"/>
          <w:b w:val="0"/>
          <w:sz w:val="22"/>
        </w:rPr>
        <w:t>想定引用: 特許文献5（Enwemeka, US 10,596,388）</w:t>
        <w:br/>
        <w:br/>
        <w:t>反論: Enwemekaは創傷治癒・感染症治療目的。AVA拡張によるTPR低下/血圧降下は開示されていない。照射対象は創傷部位であり、glabrous skinのAVAへの適用は開示されていない。パルス照射によるNOストア管理の概念がない。温度/血圧フィードバック制御がない。</w:t>
      </w:r>
    </w:p>
    <w:p>
      <w:pPr>
        <w:spacing w:before="200" w:after="120"/>
        <w:jc w:val="left"/>
      </w:pPr>
      <w:r>
        <w:rPr>
          <w:rFonts w:ascii="MS Mincho" w:hAnsi="MS Mincho" w:eastAsia="MS Mincho"/>
          <w:b/>
          <w:sz w:val="22"/>
        </w:rPr>
        <w:t>§3. 記載不備（特許法36条）への対応</w:t>
      </w:r>
    </w:p>
    <w:p>
      <w:pPr>
        <w:spacing w:after="80" w:line="360" w:lineRule="exact"/>
        <w:jc w:val="both"/>
      </w:pPr>
      <w:r>
        <w:rPr>
          <w:rFonts w:ascii="MS Mincho" w:hAnsi="MS Mincho" w:eastAsia="MS Mincho"/>
          <w:b w:val="0"/>
          <w:sz w:val="22"/>
        </w:rPr>
        <w:t>想定指摘: 「NOが光化学的に遊離し」は物理現象の記述であり構成要件ではない</w:t>
        <w:br/>
        <w:br/>
        <w:t>反論: whereby節はデバイスの「使用状態における作用」を特定する機能的限定として許容される（知財高裁平成22年(行ケ)第10340号参照）。</w:t>
        <w:br/>
        <w:br/>
        <w:t>予備的補正案: whereby節を削除し、構成(a)(b)(c)のみの構成クレームに補正。</w:t>
      </w:r>
    </w:p>
    <w:p>
      <w:pPr>
        <w:spacing w:before="200" w:after="120"/>
        <w:jc w:val="left"/>
      </w:pPr>
      <w:r>
        <w:rPr>
          <w:rFonts w:ascii="MS Mincho" w:hAnsi="MS Mincho" w:eastAsia="MS Mincho"/>
          <w:b/>
          <w:sz w:val="22"/>
        </w:rPr>
        <w:t>§4. サポート要件（特許法36条6項1号）への対応</w:t>
      </w:r>
    </w:p>
    <w:p>
      <w:pPr>
        <w:spacing w:after="80" w:line="360" w:lineRule="exact"/>
        <w:jc w:val="both"/>
      </w:pPr>
      <w:r>
        <w:rPr>
          <w:rFonts w:ascii="MS Mincho" w:hAnsi="MS Mincho" w:eastAsia="MS Mincho"/>
          <w:b w:val="0"/>
          <w:sz w:val="22"/>
        </w:rPr>
        <w:t>想定指摘: 「20〜100 mW/cm²」の数値範囲のサポート</w:t>
        <w:br/>
        <w:br/>
        <w:t>反論:</w:t>
        <w:br/>
        <w:t>・下限20 mW/cm²: 非特許文献9のbiphasic dose response閾値から逆算</w:t>
        <w:br/>
        <w:t>・上限100 mW/cm²: IEC 62471免除グループ上限値。「非熱的PBM」の定義上限。</w:t>
      </w:r>
    </w:p>
    <w:p>
      <w:pPr>
        <w:spacing w:before="200" w:after="120"/>
        <w:jc w:val="left"/>
      </w:pPr>
      <w:r>
        <w:rPr>
          <w:rFonts w:ascii="MS Mincho" w:hAnsi="MS Mincho" w:eastAsia="MS Mincho"/>
          <w:b/>
          <w:sz w:val="22"/>
        </w:rPr>
        <w:t>§5. 医療行為除外への対応</w:t>
      </w:r>
    </w:p>
    <w:p>
      <w:pPr>
        <w:spacing w:after="80" w:line="360" w:lineRule="exact"/>
        <w:jc w:val="both"/>
      </w:pPr>
      <w:r>
        <w:rPr>
          <w:rFonts w:ascii="MS Mincho" w:hAnsi="MS Mincho" w:eastAsia="MS Mincho"/>
          <w:b w:val="0"/>
          <w:sz w:val="22"/>
        </w:rPr>
        <w:t>想定指摘: 請求項8が「人間を治療する方法」に該当</w:t>
        <w:br/>
        <w:br/>
        <w:t>反論: 請求項8は「デバイスの制御方法」であり、医療行為を規定していない。</w:t>
        <w:br/>
        <w:t>予備的補正案: 「コンピュータに実行させるプログラム」形式に変更。</w:t>
      </w:r>
    </w:p>
    <w:p>
      <w:pPr>
        <w:spacing w:before="200" w:after="120"/>
        <w:jc w:val="left"/>
      </w:pPr>
      <w:r>
        <w:rPr>
          <w:rFonts w:ascii="MS Mincho" w:hAnsi="MS Mincho" w:eastAsia="MS Mincho"/>
          <w:b/>
          <w:sz w:val="22"/>
        </w:rPr>
        <w:t>§6. 単一性（特許法37条）への対応</w:t>
      </w:r>
    </w:p>
    <w:p>
      <w:pPr>
        <w:spacing w:after="80" w:line="360" w:lineRule="exact"/>
        <w:jc w:val="both"/>
      </w:pPr>
      <w:r>
        <w:rPr>
          <w:rFonts w:ascii="MS Mincho" w:hAnsi="MS Mincho" w:eastAsia="MS Mincho"/>
          <w:b w:val="0"/>
          <w:sz w:val="22"/>
        </w:rPr>
        <w:t>想定指摘: 請求項1-9と請求項10-12が単一の発明を構成しない</w:t>
        <w:br/>
        <w:br/>
        <w:t>反論: 共通する特別な技術的特徴: 「フレキシブル基板上のLEDアレイによるglabrous skin AVAへの630-850nm光照射＋パルス制御＋温度フィードバック」。請求項10は請求項1の構成(a)(b)(c)の全てを含む。</w:t>
      </w:r>
    </w:p>
    <w:p>
      <w:pPr>
        <w:spacing w:before="200" w:after="120"/>
        <w:jc w:val="left"/>
      </w:pPr>
      <w:r>
        <w:rPr>
          <w:rFonts w:ascii="MS Mincho" w:hAnsi="MS Mincho" w:eastAsia="MS Mincho"/>
          <w:b/>
          <w:sz w:val="22"/>
        </w:rPr>
        <w:t>§7. 補正シナリオ</w:t>
      </w:r>
    </w:p>
    <w:p>
      <w:pPr>
        <w:spacing w:after="80" w:line="360" w:lineRule="exact"/>
        <w:jc w:val="both"/>
      </w:pPr>
      <w:r>
        <w:rPr>
          <w:rFonts w:ascii="MS Mincho" w:hAnsi="MS Mincho" w:eastAsia="MS Mincho"/>
          <w:b w:val="0"/>
          <w:sz w:val="22"/>
        </w:rPr>
        <w:t>シナリオA: 進歩性拒絶に対し請求項1に限定を加える場合</w:t>
        <w:br/>
        <w:t>・A1: パワー密度20-100 mW/cm²を統合</w:t>
        <w:br/>
        <w:t>・A2: 二波長660nm+830nmを必須に</w:t>
        <w:br/>
        <w:t>・A3: デューティサイクル具体値を必須に</w:t>
        <w:br/>
        <w:t>・A4: A1+A3の組み合わせ</w:t>
        <w:br/>
        <w:br/>
        <w:t>シナリオB: 新規性拒絶に対し機能的限定を追加</w:t>
        <w:br/>
        <w:t>・B1: whereby節に「末梢血管抵抗を低下させて血圧を降下させる」を明記</w:t>
        <w:br/>
        <w:t>・B2: AVA口径20-150µmを限定</w:t>
        <w:br/>
        <w:br/>
        <w:t>シナリオC: 記載不備に対しwhereby節を削除</w:t>
        <w:br/>
        <w:t>・構成(a)(b)(c)のみで請求項構成</w:t>
      </w:r>
    </w:p>
    <w:p>
      <w:pPr>
        <w:spacing w:before="200" w:after="120"/>
        <w:jc w:val="left"/>
      </w:pPr>
      <w:r>
        <w:rPr>
          <w:rFonts w:ascii="MS Mincho" w:hAnsi="MS Mincho" w:eastAsia="MS Mincho"/>
          <w:b/>
          <w:sz w:val="22"/>
        </w:rPr>
        <w:t>§8. 分割出願の検討</w:t>
      </w:r>
    </w:p>
    <w:p>
      <w:pPr>
        <w:spacing w:after="80" w:line="360" w:lineRule="exact"/>
        <w:jc w:val="both"/>
      </w:pPr>
      <w:r>
        <w:rPr>
          <w:rFonts w:ascii="MS Mincho" w:hAnsi="MS Mincho" w:eastAsia="MS Mincho"/>
          <w:b w:val="0"/>
          <w:sz w:val="22"/>
        </w:rPr>
        <w:t>・分割案1: 「寒冷昇圧予防モード」（請求項9）を独立出願に</w:t>
        <w:br/>
        <w:t>・分割案2: 「ソフトウェアアップデートによる民生品→医療機器昇格」（請求項11-12）を独立出願に</w:t>
        <w:br/>
        <w:t>・分割案3: 「PPGベースBPフィードバック制御」（請求項6）を独立出願に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S Mincho" w:hAnsi="MS Mincho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