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9676</w:t>
      </w:r>
    </w:p>
    <w:p>
      <w:pPr>
        <w:jc w:val="center"/>
      </w:pPr>
      <w:r>
        <w:t>Author information removed for double-blind review</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10187.43 and a conservative, non-standard MAPE of 130.4%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and a full-work local snapshot in August 2026. The country-to-civilisation mapping, extraction and analysis code, and the result CSVs used to generate this manuscript will be made available in a public repository upon acceptance. OpenAlex data are released under CC0.</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The annual dropout rate was capped at 1.5 times the cohort-level per-year hazard to prevent extrapolation beyond observed career attrition.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0.012</w:t>
            </w:r>
          </w:p>
        </w:tc>
        <w:tc>
          <w:tcPr>
            <w:tcW w:type="dxa" w:w="1234"/>
          </w:tcPr>
          <w:p>
            <w:r>
              <w:t>0.034</w:t>
            </w:r>
          </w:p>
        </w:tc>
        <w:tc>
          <w:tcPr>
            <w:tcW w:type="dxa" w:w="1234"/>
          </w:tcPr>
          <w:p>
            <w:r>
              <w:t>0.046</w:t>
            </w:r>
          </w:p>
        </w:tc>
        <w:tc>
          <w:tcPr>
            <w:tcW w:type="dxa" w:w="1234"/>
          </w:tcPr>
          <w:p>
            <w:r>
              <w:t>0.087</w:t>
            </w:r>
          </w:p>
        </w:tc>
        <w:tc>
          <w:tcPr>
            <w:tcW w:type="dxa" w:w="1234"/>
          </w:tcPr>
          <w:p>
            <w:r>
              <w:t>0.046</w:t>
            </w:r>
          </w:p>
        </w:tc>
        <w:tc>
          <w:tcPr>
            <w:tcW w:type="dxa" w:w="1234"/>
          </w:tcPr>
          <w:p>
            <w:r>
              <w:t>3771.88</w:t>
            </w:r>
          </w:p>
        </w:tc>
      </w:tr>
      <w:tr>
        <w:tc>
          <w:tcPr>
            <w:tcW w:type="dxa" w:w="1234"/>
          </w:tcPr>
          <w:p>
            <w:r>
              <w:t>Continental Europe</w:t>
            </w:r>
          </w:p>
        </w:tc>
        <w:tc>
          <w:tcPr>
            <w:tcW w:type="dxa" w:w="1234"/>
          </w:tcPr>
          <w:p>
            <w:r>
              <w:t>0.007</w:t>
            </w:r>
          </w:p>
        </w:tc>
        <w:tc>
          <w:tcPr>
            <w:tcW w:type="dxa" w:w="1234"/>
          </w:tcPr>
          <w:p>
            <w:r>
              <w:t>0.036</w:t>
            </w:r>
          </w:p>
        </w:tc>
        <w:tc>
          <w:tcPr>
            <w:tcW w:type="dxa" w:w="1234"/>
          </w:tcPr>
          <w:p>
            <w:r>
              <w:t>0.051</w:t>
            </w:r>
          </w:p>
        </w:tc>
        <w:tc>
          <w:tcPr>
            <w:tcW w:type="dxa" w:w="1234"/>
          </w:tcPr>
          <w:p>
            <w:r>
              <w:t>0.094</w:t>
            </w:r>
          </w:p>
        </w:tc>
        <w:tc>
          <w:tcPr>
            <w:tcW w:type="dxa" w:w="1234"/>
          </w:tcPr>
          <w:p>
            <w:r>
              <w:t>0.046</w:t>
            </w:r>
          </w:p>
        </w:tc>
        <w:tc>
          <w:tcPr>
            <w:tcW w:type="dxa" w:w="1234"/>
          </w:tcPr>
          <w:p>
            <w:r>
              <w:t>9935.94</w:t>
            </w:r>
          </w:p>
        </w:tc>
      </w:tr>
      <w:tr>
        <w:tc>
          <w:tcPr>
            <w:tcW w:type="dxa" w:w="1234"/>
          </w:tcPr>
          <w:p>
            <w:r>
              <w:t>Hindu</w:t>
            </w:r>
          </w:p>
        </w:tc>
        <w:tc>
          <w:tcPr>
            <w:tcW w:type="dxa" w:w="1234"/>
          </w:tcPr>
          <w:p>
            <w:r>
              <w:t>0.008</w:t>
            </w:r>
          </w:p>
        </w:tc>
        <w:tc>
          <w:tcPr>
            <w:tcW w:type="dxa" w:w="1234"/>
          </w:tcPr>
          <w:p>
            <w:r>
              <w:t>0.030</w:t>
            </w:r>
          </w:p>
        </w:tc>
        <w:tc>
          <w:tcPr>
            <w:tcW w:type="dxa" w:w="1234"/>
          </w:tcPr>
          <w:p>
            <w:r>
              <w:t>0.027</w:t>
            </w:r>
          </w:p>
        </w:tc>
        <w:tc>
          <w:tcPr>
            <w:tcW w:type="dxa" w:w="1234"/>
          </w:tcPr>
          <w:p>
            <w:r>
              <w:t>0.082</w:t>
            </w:r>
          </w:p>
        </w:tc>
        <w:tc>
          <w:tcPr>
            <w:tcW w:type="dxa" w:w="1234"/>
          </w:tcPr>
          <w:p>
            <w:r>
              <w:t>0.028</w:t>
            </w:r>
          </w:p>
        </w:tc>
        <w:tc>
          <w:tcPr>
            <w:tcW w:type="dxa" w:w="1234"/>
          </w:tcPr>
          <w:p>
            <w:r>
              <w:t>1651.12</w:t>
            </w:r>
          </w:p>
        </w:tc>
      </w:tr>
      <w:tr>
        <w:tc>
          <w:tcPr>
            <w:tcW w:type="dxa" w:w="1234"/>
          </w:tcPr>
          <w:p>
            <w:r>
              <w:t>Islamic</w:t>
            </w:r>
          </w:p>
        </w:tc>
        <w:tc>
          <w:tcPr>
            <w:tcW w:type="dxa" w:w="1234"/>
          </w:tcPr>
          <w:p>
            <w:r>
              <w:t>0.012</w:t>
            </w:r>
          </w:p>
        </w:tc>
        <w:tc>
          <w:tcPr>
            <w:tcW w:type="dxa" w:w="1234"/>
          </w:tcPr>
          <w:p>
            <w:r>
              <w:t>0.037</w:t>
            </w:r>
          </w:p>
        </w:tc>
        <w:tc>
          <w:tcPr>
            <w:tcW w:type="dxa" w:w="1234"/>
          </w:tcPr>
          <w:p>
            <w:r>
              <w:t>0.025</w:t>
            </w:r>
          </w:p>
        </w:tc>
        <w:tc>
          <w:tcPr>
            <w:tcW w:type="dxa" w:w="1234"/>
          </w:tcPr>
          <w:p>
            <w:r>
              <w:t>0.095</w:t>
            </w:r>
          </w:p>
        </w:tc>
        <w:tc>
          <w:tcPr>
            <w:tcW w:type="dxa" w:w="1234"/>
          </w:tcPr>
          <w:p>
            <w:r>
              <w:t>0.030</w:t>
            </w:r>
          </w:p>
        </w:tc>
        <w:tc>
          <w:tcPr>
            <w:tcW w:type="dxa" w:w="1234"/>
          </w:tcPr>
          <w:p>
            <w:r>
              <w:t>3002.53</w:t>
            </w:r>
          </w:p>
        </w:tc>
      </w:tr>
      <w:tr>
        <w:tc>
          <w:tcPr>
            <w:tcW w:type="dxa" w:w="1234"/>
          </w:tcPr>
          <w:p>
            <w:r>
              <w:t>Japanese</w:t>
            </w:r>
          </w:p>
        </w:tc>
        <w:tc>
          <w:tcPr>
            <w:tcW w:type="dxa" w:w="1234"/>
          </w:tcPr>
          <w:p>
            <w:r>
              <w:t>0.007</w:t>
            </w:r>
          </w:p>
        </w:tc>
        <w:tc>
          <w:tcPr>
            <w:tcW w:type="dxa" w:w="1234"/>
          </w:tcPr>
          <w:p>
            <w:r>
              <w:t>0.037</w:t>
            </w:r>
          </w:p>
        </w:tc>
        <w:tc>
          <w:tcPr>
            <w:tcW w:type="dxa" w:w="1234"/>
          </w:tcPr>
          <w:p>
            <w:r>
              <w:t>0.024</w:t>
            </w:r>
          </w:p>
        </w:tc>
        <w:tc>
          <w:tcPr>
            <w:tcW w:type="dxa" w:w="1234"/>
          </w:tcPr>
          <w:p>
            <w:r>
              <w:t>0.069</w:t>
            </w:r>
          </w:p>
        </w:tc>
        <w:tc>
          <w:tcPr>
            <w:tcW w:type="dxa" w:w="1234"/>
          </w:tcPr>
          <w:p>
            <w:r>
              <w:t>0.055</w:t>
            </w:r>
          </w:p>
        </w:tc>
        <w:tc>
          <w:tcPr>
            <w:tcW w:type="dxa" w:w="1234"/>
          </w:tcPr>
          <w:p>
            <w:r>
              <w:t>1882.76</w:t>
            </w:r>
          </w:p>
        </w:tc>
      </w:tr>
      <w:tr>
        <w:tc>
          <w:tcPr>
            <w:tcW w:type="dxa" w:w="1234"/>
          </w:tcPr>
          <w:p>
            <w:r>
              <w:t>Other Civilizations</w:t>
            </w:r>
          </w:p>
        </w:tc>
        <w:tc>
          <w:tcPr>
            <w:tcW w:type="dxa" w:w="1234"/>
          </w:tcPr>
          <w:p>
            <w:r>
              <w:t>0.009</w:t>
            </w:r>
          </w:p>
        </w:tc>
        <w:tc>
          <w:tcPr>
            <w:tcW w:type="dxa" w:w="1234"/>
          </w:tcPr>
          <w:p>
            <w:r>
              <w:t>0.035</w:t>
            </w:r>
          </w:p>
        </w:tc>
        <w:tc>
          <w:tcPr>
            <w:tcW w:type="dxa" w:w="1234"/>
          </w:tcPr>
          <w:p>
            <w:r>
              <w:t>0.026</w:t>
            </w:r>
          </w:p>
        </w:tc>
        <w:tc>
          <w:tcPr>
            <w:tcW w:type="dxa" w:w="1234"/>
          </w:tcPr>
          <w:p>
            <w:r>
              <w:t>0.078</w:t>
            </w:r>
          </w:p>
        </w:tc>
        <w:tc>
          <w:tcPr>
            <w:tcW w:type="dxa" w:w="1234"/>
          </w:tcPr>
          <w:p>
            <w:r>
              <w:t>0.042</w:t>
            </w:r>
          </w:p>
        </w:tc>
        <w:tc>
          <w:tcPr>
            <w:tcW w:type="dxa" w:w="1234"/>
          </w:tcPr>
          <w:p>
            <w:r>
              <w:t>2955.29</w:t>
            </w:r>
          </w:p>
        </w:tc>
      </w:tr>
      <w:tr>
        <w:tc>
          <w:tcPr>
            <w:tcW w:type="dxa" w:w="1234"/>
          </w:tcPr>
          <w:p>
            <w:r>
              <w:t>Other Western</w:t>
            </w:r>
          </w:p>
        </w:tc>
        <w:tc>
          <w:tcPr>
            <w:tcW w:type="dxa" w:w="1234"/>
          </w:tcPr>
          <w:p>
            <w:r>
              <w:t>0.014</w:t>
            </w:r>
          </w:p>
        </w:tc>
        <w:tc>
          <w:tcPr>
            <w:tcW w:type="dxa" w:w="1234"/>
          </w:tcPr>
          <w:p>
            <w:r>
              <w:t>0.032</w:t>
            </w:r>
          </w:p>
        </w:tc>
        <w:tc>
          <w:tcPr>
            <w:tcW w:type="dxa" w:w="1234"/>
          </w:tcPr>
          <w:p>
            <w:r>
              <w:t>0.058</w:t>
            </w:r>
          </w:p>
        </w:tc>
        <w:tc>
          <w:tcPr>
            <w:tcW w:type="dxa" w:w="1234"/>
          </w:tcPr>
          <w:p>
            <w:r>
              <w:t>0.067</w:t>
            </w:r>
          </w:p>
        </w:tc>
        <w:tc>
          <w:tcPr>
            <w:tcW w:type="dxa" w:w="1234"/>
          </w:tcPr>
          <w:p>
            <w:r>
              <w:t>0.044</w:t>
            </w:r>
          </w:p>
        </w:tc>
        <w:tc>
          <w:tcPr>
            <w:tcW w:type="dxa" w:w="1234"/>
          </w:tcPr>
          <w:p>
            <w:r>
              <w:t>258.65</w:t>
            </w:r>
          </w:p>
        </w:tc>
      </w:tr>
      <w:tr>
        <w:tc>
          <w:tcPr>
            <w:tcW w:type="dxa" w:w="1234"/>
          </w:tcPr>
          <w:p>
            <w:r>
              <w:t>Sinic</w:t>
            </w:r>
          </w:p>
        </w:tc>
        <w:tc>
          <w:tcPr>
            <w:tcW w:type="dxa" w:w="1234"/>
          </w:tcPr>
          <w:p>
            <w:r>
              <w:t>0.007</w:t>
            </w:r>
          </w:p>
        </w:tc>
        <w:tc>
          <w:tcPr>
            <w:tcW w:type="dxa" w:w="1234"/>
          </w:tcPr>
          <w:p>
            <w:r>
              <w:t>0.027</w:t>
            </w:r>
          </w:p>
        </w:tc>
        <w:tc>
          <w:tcPr>
            <w:tcW w:type="dxa" w:w="1234"/>
          </w:tcPr>
          <w:p>
            <w:r>
              <w:t>0.026</w:t>
            </w:r>
          </w:p>
        </w:tc>
        <w:tc>
          <w:tcPr>
            <w:tcW w:type="dxa" w:w="1234"/>
          </w:tcPr>
          <w:p>
            <w:r>
              <w:t>0.091</w:t>
            </w:r>
          </w:p>
        </w:tc>
        <w:tc>
          <w:tcPr>
            <w:tcW w:type="dxa" w:w="1234"/>
          </w:tcPr>
          <w:p>
            <w:r>
              <w:t>0.034</w:t>
            </w:r>
          </w:p>
        </w:tc>
        <w:tc>
          <w:tcPr>
            <w:tcW w:type="dxa" w:w="1234"/>
          </w:tcPr>
          <w:p>
            <w:r>
              <w:t>11179.47</w:t>
            </w:r>
          </w:p>
        </w:tc>
      </w:tr>
      <w:tr>
        <w:tc>
          <w:tcPr>
            <w:tcW w:type="dxa" w:w="1234"/>
          </w:tcPr>
          <w:p>
            <w:r>
              <w:t>United States</w:t>
            </w:r>
          </w:p>
        </w:tc>
        <w:tc>
          <w:tcPr>
            <w:tcW w:type="dxa" w:w="1234"/>
          </w:tcPr>
          <w:p>
            <w:r>
              <w:t>0.008</w:t>
            </w:r>
          </w:p>
        </w:tc>
        <w:tc>
          <w:tcPr>
            <w:tcW w:type="dxa" w:w="1234"/>
          </w:tcPr>
          <w:p>
            <w:r>
              <w:t>0.033</w:t>
            </w:r>
          </w:p>
        </w:tc>
        <w:tc>
          <w:tcPr>
            <w:tcW w:type="dxa" w:w="1234"/>
          </w:tcPr>
          <w:p>
            <w:r>
              <w:t>0.047</w:t>
            </w:r>
          </w:p>
        </w:tc>
        <w:tc>
          <w:tcPr>
            <w:tcW w:type="dxa" w:w="1234"/>
          </w:tcPr>
          <w:p>
            <w:r>
              <w:t>0.086</w:t>
            </w:r>
          </w:p>
        </w:tc>
        <w:tc>
          <w:tcPr>
            <w:tcW w:type="dxa" w:w="1234"/>
          </w:tcPr>
          <w:p>
            <w:r>
              <w:t>0.046</w:t>
            </w:r>
          </w:p>
        </w:tc>
        <w:tc>
          <w:tcPr>
            <w:tcW w:type="dxa" w:w="1234"/>
          </w:tcPr>
          <w:p>
            <w:r>
              <w:t>7929.82</w:t>
            </w:r>
          </w:p>
        </w:tc>
      </w:tr>
    </w:tbl>
    <w:p>
      <w:pPr>
        <w:jc w:val="center"/>
      </w:pPr>
      <w:r>
        <w:rPr>
          <w:i/>
        </w:rPr>
        <w:t>Table 9. Mean observed annual transition rates by civilisation, 2000-2016.</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r>
        <w:t>Table 10 lists the cross-origin-destination pairs with the largest accumulation of abroad author-years. Same-civilisation cells and Unknown destinations are excluded because they cannot be interpreted as inter-civilisation flows.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United States</w:t>
            </w:r>
          </w:p>
        </w:tc>
        <w:tc>
          <w:tcPr>
            <w:tcW w:type="dxa" w:w="2880"/>
          </w:tcPr>
          <w:p>
            <w:r>
              <w:t>Sinic</w:t>
            </w:r>
          </w:p>
        </w:tc>
        <w:tc>
          <w:tcPr>
            <w:tcW w:type="dxa" w:w="2880"/>
          </w:tcPr>
          <w:p>
            <w:r>
              <w:t>52689</w:t>
            </w:r>
          </w:p>
        </w:tc>
      </w:tr>
      <w:tr>
        <w:tc>
          <w:tcPr>
            <w:tcW w:type="dxa" w:w="2880"/>
          </w:tcPr>
          <w:p>
            <w:r>
              <w:t>United States</w:t>
            </w:r>
          </w:p>
        </w:tc>
        <w:tc>
          <w:tcPr>
            <w:tcW w:type="dxa" w:w="2880"/>
          </w:tcPr>
          <w:p>
            <w:r>
              <w:t>Continental Europe</w:t>
            </w:r>
          </w:p>
        </w:tc>
        <w:tc>
          <w:tcPr>
            <w:tcW w:type="dxa" w:w="2880"/>
          </w:tcPr>
          <w:p>
            <w:r>
              <w:t>21968</w:t>
            </w:r>
          </w:p>
        </w:tc>
      </w:tr>
      <w:tr>
        <w:tc>
          <w:tcPr>
            <w:tcW w:type="dxa" w:w="2880"/>
          </w:tcPr>
          <w:p>
            <w:r>
              <w:t>Anglosphere ex-US</w:t>
            </w:r>
          </w:p>
        </w:tc>
        <w:tc>
          <w:tcPr>
            <w:tcW w:type="dxa" w:w="2880"/>
          </w:tcPr>
          <w:p>
            <w:r>
              <w:t>Sinic</w:t>
            </w:r>
          </w:p>
        </w:tc>
        <w:tc>
          <w:tcPr>
            <w:tcW w:type="dxa" w:w="2880"/>
          </w:tcPr>
          <w:p>
            <w:r>
              <w:t>20534</w:t>
            </w:r>
          </w:p>
        </w:tc>
      </w:tr>
      <w:tr>
        <w:tc>
          <w:tcPr>
            <w:tcW w:type="dxa" w:w="2880"/>
          </w:tcPr>
          <w:p>
            <w:r>
              <w:t>Sinic</w:t>
            </w:r>
          </w:p>
        </w:tc>
        <w:tc>
          <w:tcPr>
            <w:tcW w:type="dxa" w:w="2880"/>
          </w:tcPr>
          <w:p>
            <w:r>
              <w:t>United States</w:t>
            </w:r>
          </w:p>
        </w:tc>
        <w:tc>
          <w:tcPr>
            <w:tcW w:type="dxa" w:w="2880"/>
          </w:tcPr>
          <w:p>
            <w:r>
              <w:t>18505</w:t>
            </w:r>
          </w:p>
        </w:tc>
      </w:tr>
      <w:tr>
        <w:tc>
          <w:tcPr>
            <w:tcW w:type="dxa" w:w="2880"/>
          </w:tcPr>
          <w:p>
            <w:r>
              <w:t>Continental Europe</w:t>
            </w:r>
          </w:p>
        </w:tc>
        <w:tc>
          <w:tcPr>
            <w:tcW w:type="dxa" w:w="2880"/>
          </w:tcPr>
          <w:p>
            <w:r>
              <w:t>Anglosphere ex-US</w:t>
            </w:r>
          </w:p>
        </w:tc>
        <w:tc>
          <w:tcPr>
            <w:tcW w:type="dxa" w:w="2880"/>
          </w:tcPr>
          <w:p>
            <w:r>
              <w:t>18156</w:t>
            </w:r>
          </w:p>
        </w:tc>
      </w:tr>
      <w:tr>
        <w:tc>
          <w:tcPr>
            <w:tcW w:type="dxa" w:w="2880"/>
          </w:tcPr>
          <w:p>
            <w:r>
              <w:t>United States</w:t>
            </w:r>
          </w:p>
        </w:tc>
        <w:tc>
          <w:tcPr>
            <w:tcW w:type="dxa" w:w="2880"/>
          </w:tcPr>
          <w:p>
            <w:r>
              <w:t>Anglosphere ex-US</w:t>
            </w:r>
          </w:p>
        </w:tc>
        <w:tc>
          <w:tcPr>
            <w:tcW w:type="dxa" w:w="2880"/>
          </w:tcPr>
          <w:p>
            <w:r>
              <w:t>17719</w:t>
            </w:r>
          </w:p>
        </w:tc>
      </w:tr>
      <w:tr>
        <w:tc>
          <w:tcPr>
            <w:tcW w:type="dxa" w:w="2880"/>
          </w:tcPr>
          <w:p>
            <w:r>
              <w:t>Continental Europe</w:t>
            </w:r>
          </w:p>
        </w:tc>
        <w:tc>
          <w:tcPr>
            <w:tcW w:type="dxa" w:w="2880"/>
          </w:tcPr>
          <w:p>
            <w:r>
              <w:t>United States</w:t>
            </w:r>
          </w:p>
        </w:tc>
        <w:tc>
          <w:tcPr>
            <w:tcW w:type="dxa" w:w="2880"/>
          </w:tcPr>
          <w:p>
            <w:r>
              <w:t>15459</w:t>
            </w:r>
          </w:p>
        </w:tc>
      </w:tr>
      <w:tr>
        <w:tc>
          <w:tcPr>
            <w:tcW w:type="dxa" w:w="2880"/>
          </w:tcPr>
          <w:p>
            <w:r>
              <w:t>Anglosphere ex-US</w:t>
            </w:r>
          </w:p>
        </w:tc>
        <w:tc>
          <w:tcPr>
            <w:tcW w:type="dxa" w:w="2880"/>
          </w:tcPr>
          <w:p>
            <w:r>
              <w:t>Continental Europe</w:t>
            </w:r>
          </w:p>
        </w:tc>
        <w:tc>
          <w:tcPr>
            <w:tcW w:type="dxa" w:w="2880"/>
          </w:tcPr>
          <w:p>
            <w:r>
              <w:t>15003</w:t>
            </w:r>
          </w:p>
        </w:tc>
      </w:tr>
      <w:tr>
        <w:tc>
          <w:tcPr>
            <w:tcW w:type="dxa" w:w="2880"/>
          </w:tcPr>
          <w:p>
            <w:r>
              <w:t>Anglosphere ex-US</w:t>
            </w:r>
          </w:p>
        </w:tc>
        <w:tc>
          <w:tcPr>
            <w:tcW w:type="dxa" w:w="2880"/>
          </w:tcPr>
          <w:p>
            <w:r>
              <w:t>United States</w:t>
            </w:r>
          </w:p>
        </w:tc>
        <w:tc>
          <w:tcPr>
            <w:tcW w:type="dxa" w:w="2880"/>
          </w:tcPr>
          <w:p>
            <w:r>
              <w:t>14422</w:t>
            </w:r>
          </w:p>
        </w:tc>
      </w:tr>
      <w:tr>
        <w:tc>
          <w:tcPr>
            <w:tcW w:type="dxa" w:w="2880"/>
          </w:tcPr>
          <w:p>
            <w:r>
              <w:t>Continental Europe</w:t>
            </w:r>
          </w:p>
        </w:tc>
        <w:tc>
          <w:tcPr>
            <w:tcW w:type="dxa" w:w="2880"/>
          </w:tcPr>
          <w:p>
            <w:r>
              <w:t>Sinic</w:t>
            </w:r>
          </w:p>
        </w:tc>
        <w:tc>
          <w:tcPr>
            <w:tcW w:type="dxa" w:w="2880"/>
          </w:tcPr>
          <w:p>
            <w:r>
              <w:t>10535</w:t>
            </w:r>
          </w:p>
        </w:tc>
      </w:tr>
    </w:tbl>
    <w:p>
      <w:pPr>
        <w:jc w:val="center"/>
      </w:pPr>
      <w:r>
        <w:rPr>
          <w:i/>
        </w:rPr>
        <w:t>Table 10. Top cross-civilisation origin-destination abroad author-year pairs.</w:t>
      </w:r>
    </w:p>
    <w:p>
      <w:pPr>
        <w:pStyle w:val="Heading2"/>
      </w:pPr>
      <w:r>
        <w:t>5.7 Out-of-sample projection, 2017-2023</w:t>
      </w:r>
    </w:p>
    <w:p>
      <w:r>
        <w:t>The 2017-2023 projection is compared with observed annual stocks in Figure 7. Overall accuracy is RMSE 10187.43 and MAPE 130.4%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w:t>
      </w:r>
    </w:p>
    <w:p>
      <w:r>
        <w:t>Table 11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11.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11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