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Litigation risk is unrelated to physician or hospital decline in 12 specialties.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A decision-analytics framework removes size confounding and sparse-panel bias.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Equivalence, bootstrap, and power diagnostics support an informative null.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Behavioural-economics mechanisms and structural incentives explain the null.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Policy should target structural incentives, not litigation-avoidance messaging.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