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pPr>
      <w:r>
        <w:rPr>
          <w:rFonts w:ascii="Times New Roman" w:hAnsi="Times New Roman"/>
          <w:b/>
          <w:sz w:val="24"/>
        </w:rPr>
        <w:t>ABSTRACT</w:t>
      </w:r>
    </w:p>
    <w:p>
      <w:pPr>
        <w:ind w:firstLine="0"/>
      </w:pPr>
      <w:r>
        <w:rPr>
          <w:rFonts w:ascii="Times New Roman" w:hAnsi="Times New Roman"/>
          <w:sz w:val="24"/>
        </w:rPr>
        <w:t>Conventional flood control in Japan relies on structural measures such as levees, dams, super-levees, and diversion channels. This paper proposes a novel flood control framework that integrates planned-release hydropower generation with inter-watershed groundwater management. The core concept is to use the potential energy of controlled flood discharge to generate electricity, which in turn powers the pre-emptive pumping of groundwater from adjacent watersheds, thereby creating subsurface storage capacity to absorb floodwaters. A simplified feasibility analysis was conducted for the Oda River-Takahashi River basin (Okayama Prefecture), where the 2018 Western Japan Heavy Rainfall caused catastrophic backwater flooding with 51 fatalities. The energy balance analysis demonstrates that planned-release hydropower (approximately 42 MW at H = 100 m, Q = 50 m³/s) far exceeds the power required for groundwater pumping (approximately 3.7 MW), achieving energy self-sufficiency with a surplus of approximately 38 MW. The aquifer storage analysis shows that a managed area of 20 km² with 3 m drawdown creates approximately 12.0 × 10⁶ m³ of storage capacity, equivalent to 78% of the 2018 flood volume. Integration with the existing structural measure (confluence relocation, completed 2024) yields a 32% reduction in peak discharge. The applicability to the Arakawa-Edogawa basin in the Tokyo metropolitan area (8.21 million people in projected inundation zones) was also examined, revealing the potential for complementary flood control using Kanto Plain alluvial aquifers. The framework leverages Japan's steep terrain, existing pumped-storage infrastructure, and dense hydrometeorological networks, offering a replicable model for flood-prone regions worldwide.</w:t>
      </w:r>
    </w:p>
    <w:p>
      <w:pPr>
        <w:spacing w:before="240"/>
      </w:pPr>
      <w:r>
        <w:rPr>
          <w:rFonts w:ascii="Times New Roman" w:hAnsi="Times New Roman"/>
          <w:b/>
          <w:sz w:val="24"/>
        </w:rPr>
        <w:t xml:space="preserve">Key words: </w:t>
      </w:r>
      <w:r>
        <w:rPr>
          <w:rFonts w:ascii="Times New Roman" w:hAnsi="Times New Roman"/>
          <w:sz w:val="24"/>
        </w:rPr>
        <w:t>flood control, groundwater management, hydropower, backwater effect, aquifer storage</w:t>
      </w:r>
    </w:p>
    <w:p>
      <w:pPr>
        <w:spacing w:before="360" w:after="120"/>
      </w:pPr>
      <w:r>
        <w:rPr>
          <w:rFonts w:ascii="Times New Roman" w:hAnsi="Times New Roman"/>
          <w:b/>
          <w:sz w:val="28"/>
        </w:rPr>
        <w:t>1. INTRODUCTION</w:t>
      </w:r>
    </w:p>
    <w:p>
      <w:pPr>
        <w:ind w:firstLine="480"/>
      </w:pPr>
      <w:r>
        <w:rPr>
          <w:rFonts w:ascii="Times New Roman" w:hAnsi="Times New Roman"/>
          <w:sz w:val="24"/>
        </w:rPr>
        <w:t>In recent years, Japan has experienced increasingly severe flood disasters due to intensifying rainfall events associated with climate change. During the 2018 Western Japan Heavy Rainfall (July 2018 event), levees along the Oda River in Mabi-cho, Kurashiki City, Okayama Prefecture, breached at five locations, resulting in 51 fatalities, an inundation area of 8.28 km², and an estimated flood volume of approximately 15.3 × 10⁶ m³.</w:t>
      </w:r>
      <w:r>
        <w:rPr>
          <w:rFonts w:ascii="Times New Roman" w:hAnsi="Times New Roman"/>
          <w:sz w:val="18"/>
          <w:vertAlign w:val="superscript"/>
        </w:rPr>
        <w:t>1)</w:t>
      </w:r>
      <w:r>
        <w:rPr>
          <w:rFonts w:ascii="Times New Roman" w:hAnsi="Times New Roman"/>
          <w:sz w:val="24"/>
        </w:rPr>
        <w:t xml:space="preserve"> The primary cause was the backwater effect: rising water levels in the main Takahashi River impeded drainage from the tributary Oda River.</w:t>
      </w:r>
      <w:r>
        <w:rPr>
          <w:rFonts w:ascii="Times New Roman" w:hAnsi="Times New Roman"/>
          <w:sz w:val="18"/>
          <w:vertAlign w:val="superscript"/>
        </w:rPr>
        <w:t>2)</w:t>
      </w:r>
      <w:r>
        <w:rPr>
          <w:rFonts w:ascii="Times New Roman" w:hAnsi="Times New Roman"/>
          <w:sz w:val="24"/>
        </w:rPr>
      </w:r>
    </w:p>
    <w:p>
      <w:pPr>
        <w:ind w:firstLine="480"/>
      </w:pPr>
      <w:r>
        <w:rPr>
          <w:rFonts w:ascii="Times New Roman" w:hAnsi="Times New Roman"/>
          <w:sz w:val="24"/>
        </w:rPr>
        <w:t>Conventional flood control in Japan centres on structural measures, including levee and revetment construction, dam-based flood regulation, and the construction of diversion channels and retarding basins.</w:t>
      </w:r>
      <w:r>
        <w:rPr>
          <w:rFonts w:ascii="Times New Roman" w:hAnsi="Times New Roman"/>
          <w:sz w:val="18"/>
          <w:vertAlign w:val="superscript"/>
        </w:rPr>
        <w:t>3)</w:t>
      </w:r>
      <w:r>
        <w:rPr>
          <w:rFonts w:ascii="Times New Roman" w:hAnsi="Times New Roman"/>
          <w:sz w:val="24"/>
        </w:rPr>
        <w:t xml:space="preserve"> In Mabi-cho, a large-scale structural measure was completed in March 2024: the relocation of the Oda-Takahashi confluence approximately 4.6 km downstream. During the heavy rainfall of November 2024, this measure reportedly reduced water levels by approximately 4.6 m on the Oda River side and 0.8 m on the Takahashi River side.</w:t>
      </w:r>
      <w:r>
        <w:rPr>
          <w:rFonts w:ascii="Times New Roman" w:hAnsi="Times New Roman"/>
          <w:sz w:val="18"/>
          <w:vertAlign w:val="superscript"/>
        </w:rPr>
        <w:t>4)</w:t>
      </w:r>
      <w:r>
        <w:rPr>
          <w:rFonts w:ascii="Times New Roman" w:hAnsi="Times New Roman"/>
          <w:sz w:val="24"/>
        </w:rPr>
        <w:t xml:space="preserve"> However, such large-scale civil engineering projects require decades from planning to completion, and their adaptive capacity to future increases in flood magnitude under climate change is limited.</w:t>
      </w:r>
    </w:p>
    <w:p>
      <w:pPr>
        <w:ind w:firstLine="480"/>
      </w:pPr>
      <w:r>
        <w:rPr>
          <w:rFonts w:ascii="Times New Roman" w:hAnsi="Times New Roman"/>
          <w:sz w:val="24"/>
        </w:rPr>
        <w:t>Meanwhile, groundwater management as a flood mitigation approach has attracted increasing international attention. In California, the Flood-Managed Aquifer Recharge (Flood-MAR) strategy channels floodwaters into aquifers for storage.</w:t>
      </w:r>
      <w:r>
        <w:rPr>
          <w:rFonts w:ascii="Times New Roman" w:hAnsi="Times New Roman"/>
          <w:sz w:val="18"/>
          <w:vertAlign w:val="superscript"/>
        </w:rPr>
        <w:t>5)</w:t>
      </w:r>
      <w:r>
        <w:rPr>
          <w:rFonts w:ascii="Times New Roman" w:hAnsi="Times New Roman"/>
          <w:sz w:val="24"/>
        </w:rPr>
        <w:t xml:space="preserve"> In Taiwan, optimised groundwater pumping has been demonstrated to reduce flood hazard in subsidence-prone coastal areas.</w:t>
      </w:r>
      <w:r>
        <w:rPr>
          <w:rFonts w:ascii="Times New Roman" w:hAnsi="Times New Roman"/>
          <w:sz w:val="18"/>
          <w:vertAlign w:val="superscript"/>
        </w:rPr>
        <w:t>6)</w:t>
      </w:r>
      <w:r>
        <w:rPr>
          <w:rFonts w:ascii="Times New Roman" w:hAnsi="Times New Roman"/>
          <w:sz w:val="24"/>
        </w:rPr>
        <w:t xml:space="preserve"> In Japan, the Metropolitan Area Outer Underground Discharge Channel (MAOUDC) achieves inter-watershed flood transfer, with its efficacy validated through over 100 operational events.</w:t>
      </w:r>
      <w:r>
        <w:rPr>
          <w:rFonts w:ascii="Times New Roman" w:hAnsi="Times New Roman"/>
          <w:sz w:val="18"/>
          <w:vertAlign w:val="superscript"/>
        </w:rPr>
        <w:t>7)</w:t>
      </w:r>
      <w:r>
        <w:rPr>
          <w:rFonts w:ascii="Times New Roman" w:hAnsi="Times New Roman"/>
          <w:sz w:val="24"/>
        </w:rPr>
      </w:r>
    </w:p>
    <w:p>
      <w:pPr>
        <w:ind w:firstLine="480"/>
      </w:pPr>
      <w:r>
        <w:rPr>
          <w:rFonts w:ascii="Times New Roman" w:hAnsi="Times New Roman"/>
          <w:sz w:val="24"/>
        </w:rPr>
        <w:t>This paper proposes a novel flood control framework that integrates these existing technologies. The framework uses the hydroelectric energy from planned flood discharge to pre-emptively pump groundwater from adjacent watersheds, actively creating subsurface storage capacity to absorb floodwaters. A simplified feasibility analysis is conducted for the Oda River-Takahashi River basin, and the applicability to the Tokyo metropolitan area is examined. Policy implications are also discussed.</w:t>
      </w:r>
    </w:p>
    <w:p>
      <w:pPr>
        <w:spacing w:before="360" w:after="120"/>
      </w:pPr>
      <w:r>
        <w:rPr>
          <w:rFonts w:ascii="Times New Roman" w:hAnsi="Times New Roman"/>
          <w:b/>
          <w:sz w:val="28"/>
        </w:rPr>
        <w:t>2. LITERATURE REVIEW AND RELATED TECHNOLOGIES</w:t>
      </w:r>
    </w:p>
    <w:p>
      <w:pPr>
        <w:spacing w:before="360" w:after="120"/>
      </w:pPr>
      <w:r>
        <w:rPr>
          <w:rFonts w:ascii="Times New Roman" w:hAnsi="Times New Roman"/>
          <w:b/>
          <w:sz w:val="24"/>
        </w:rPr>
        <w:t>(1) Backwater effect and confluence flood control</w:t>
      </w:r>
    </w:p>
    <w:p>
      <w:pPr>
        <w:ind w:firstLine="480"/>
      </w:pPr>
      <w:r>
        <w:rPr>
          <w:rFonts w:ascii="Times New Roman" w:hAnsi="Times New Roman"/>
          <w:sz w:val="24"/>
        </w:rPr>
        <w:t>The backwater effect occurs when rising water levels in a main river impede drainage from tributaries, causing flooding in the tributary basin. Maeno</w:t>
      </w:r>
      <w:r>
        <w:rPr>
          <w:rFonts w:ascii="Times New Roman" w:hAnsi="Times New Roman"/>
          <w:sz w:val="18"/>
          <w:vertAlign w:val="superscript"/>
        </w:rPr>
        <w:t>8)</w:t>
      </w:r>
      <w:r>
        <w:rPr>
          <w:rFonts w:ascii="Times New Roman" w:hAnsi="Times New Roman"/>
          <w:sz w:val="24"/>
        </w:rPr>
        <w:t xml:space="preserve"> analysed the effect of relocating the Takahashi-Oda River confluence using two-dimensional flow analysis, demonstrating significant water level reduction in the Oda River basin. Internationally, the Yazoo Backwater area in the Mississippi River basin is a well-documented case of backwater flooding.</w:t>
      </w:r>
      <w:r>
        <w:rPr>
          <w:rFonts w:ascii="Times New Roman" w:hAnsi="Times New Roman"/>
          <w:sz w:val="18"/>
          <w:vertAlign w:val="superscript"/>
        </w:rPr>
        <w:t>9)</w:t>
      </w:r>
      <w:r>
        <w:rPr>
          <w:rFonts w:ascii="Times New Roman" w:hAnsi="Times New Roman"/>
          <w:sz w:val="24"/>
        </w:rPr>
        <w:t xml:space="preserve"> In 2019, floodwaters exceeded the flood stage for 158 consecutive days, causing prolonged inundation lasting approximately four months.</w:t>
      </w:r>
      <w:r>
        <w:rPr>
          <w:rFonts w:ascii="Times New Roman" w:hAnsi="Times New Roman"/>
          <w:sz w:val="18"/>
          <w:vertAlign w:val="superscript"/>
        </w:rPr>
        <w:t>10)</w:t>
      </w:r>
      <w:r>
        <w:rPr>
          <w:rFonts w:ascii="Times New Roman" w:hAnsi="Times New Roman"/>
          <w:sz w:val="24"/>
        </w:rPr>
        <w:t xml:space="preserve"> Berkowitz et al.</w:t>
      </w:r>
      <w:r>
        <w:rPr>
          <w:rFonts w:ascii="Times New Roman" w:hAnsi="Times New Roman"/>
          <w:sz w:val="18"/>
          <w:vertAlign w:val="superscript"/>
        </w:rPr>
        <w:t>11)</w:t>
      </w:r>
      <w:r>
        <w:rPr>
          <w:rFonts w:ascii="Times New Roman" w:hAnsi="Times New Roman"/>
          <w:sz w:val="24"/>
        </w:rPr>
        <w:t xml:space="preserve"> analysed the wetland hydrology of the Yazoo basin, demonstrating the critical role of groundwater-surface water interactions during prolonged floods. Li and Tsai</w:t>
      </w:r>
      <w:r>
        <w:rPr>
          <w:rFonts w:ascii="Times New Roman" w:hAnsi="Times New Roman"/>
          <w:sz w:val="18"/>
          <w:vertAlign w:val="superscript"/>
        </w:rPr>
        <w:t>12)</w:t>
      </w:r>
      <w:r>
        <w:rPr>
          <w:rFonts w:ascii="Times New Roman" w:hAnsi="Times New Roman"/>
          <w:sz w:val="24"/>
        </w:rPr>
        <w:t xml:space="preserve"> showed that groundwater flow dynamics in the Mississippi River Delta are strongly influenced by surface water-groundwater interactions, suggesting the feasibility of aquifer-based flood management in river deltas.</w:t>
      </w:r>
    </w:p>
    <w:p>
      <w:pPr>
        <w:spacing w:before="360" w:after="120"/>
      </w:pPr>
      <w:r>
        <w:rPr>
          <w:rFonts w:ascii="Times New Roman" w:hAnsi="Times New Roman"/>
          <w:b/>
          <w:sz w:val="24"/>
        </w:rPr>
        <w:t>(2) Managed aquifer recharge and groundwater-based flood control</w:t>
      </w:r>
    </w:p>
    <w:p>
      <w:pPr>
        <w:ind w:firstLine="480"/>
      </w:pPr>
      <w:r>
        <w:rPr>
          <w:rFonts w:ascii="Times New Roman" w:hAnsi="Times New Roman"/>
          <w:sz w:val="24"/>
        </w:rPr>
        <w:t>Managed Aquifer Recharge (MAR), including Aquifer Storage and Recovery (ASR), has been practised worldwide as a technique for sustainable groundwater resource management.</w:t>
      </w:r>
      <w:r>
        <w:rPr>
          <w:rFonts w:ascii="Times New Roman" w:hAnsi="Times New Roman"/>
          <w:sz w:val="18"/>
          <w:vertAlign w:val="superscript"/>
        </w:rPr>
        <w:t>13)</w:t>
      </w:r>
      <w:r>
        <w:rPr>
          <w:rFonts w:ascii="Times New Roman" w:hAnsi="Times New Roman"/>
          <w:sz w:val="24"/>
        </w:rPr>
        <w:t xml:space="preserve"> California's Flood-MAR strategy represents a novel approach that simultaneously achieves flood risk reduction and groundwater recharge, diverting floodwaters onto agricultural lands and wetlands during high-flow events.</w:t>
      </w:r>
      <w:r>
        <w:rPr>
          <w:rFonts w:ascii="Times New Roman" w:hAnsi="Times New Roman"/>
          <w:sz w:val="18"/>
          <w:vertAlign w:val="superscript"/>
        </w:rPr>
        <w:t>5)</w:t>
      </w:r>
      <w:r>
        <w:rPr>
          <w:rFonts w:ascii="Times New Roman" w:hAnsi="Times New Roman"/>
          <w:sz w:val="24"/>
        </w:rPr>
        <w:t xml:space="preserve"> Chang et al.</w:t>
      </w:r>
      <w:r>
        <w:rPr>
          <w:rFonts w:ascii="Times New Roman" w:hAnsi="Times New Roman"/>
          <w:sz w:val="18"/>
          <w:vertAlign w:val="superscript"/>
        </w:rPr>
        <w:t>6)</w:t>
      </w:r>
      <w:r>
        <w:rPr>
          <w:rFonts w:ascii="Times New Roman" w:hAnsi="Times New Roman"/>
          <w:sz w:val="24"/>
        </w:rPr>
        <w:t xml:space="preserve"> demonstrated in south-western Taiwan that optimal groundwater pumping scheduling can lower pre-flood water tables, reducing inundation depth by up to 0.5 m in subsidence-prone coastal areas. Nishizawa Katazakai and Zhang</w:t>
      </w:r>
      <w:r>
        <w:rPr>
          <w:rFonts w:ascii="Times New Roman" w:hAnsi="Times New Roman"/>
          <w:sz w:val="18"/>
          <w:vertAlign w:val="superscript"/>
        </w:rPr>
        <w:t>14)</w:t>
      </w:r>
      <w:r>
        <w:rPr>
          <w:rFonts w:ascii="Times New Roman" w:hAnsi="Times New Roman"/>
          <w:sz w:val="24"/>
        </w:rPr>
        <w:t xml:space="preserve"> analysed half a century of groundwater monitoring data in central Japan, providing evidence that long-term groundwater management can contribute to flood control while maintaining aquifer sustainability.</w:t>
      </w:r>
    </w:p>
    <w:p>
      <w:pPr>
        <w:spacing w:before="360" w:after="120"/>
      </w:pPr>
      <w:r>
        <w:rPr>
          <w:rFonts w:ascii="Times New Roman" w:hAnsi="Times New Roman"/>
          <w:b/>
          <w:sz w:val="24"/>
        </w:rPr>
        <w:t>(3) Pumped-storage hydropower and its applicability to flood control</w:t>
      </w:r>
    </w:p>
    <w:p>
      <w:pPr>
        <w:ind w:firstLine="480"/>
      </w:pPr>
      <w:r>
        <w:rPr>
          <w:rFonts w:ascii="Times New Roman" w:hAnsi="Times New Roman"/>
          <w:sz w:val="24"/>
        </w:rPr>
        <w:t>Japan possesses world-leading pumped-storage hydropower capacity: approximately 27,000 MW across the country, with TEPCO alone operating approximately 10,000 MW.</w:t>
      </w:r>
      <w:r>
        <w:rPr>
          <w:rFonts w:ascii="Times New Roman" w:hAnsi="Times New Roman"/>
          <w:sz w:val="18"/>
          <w:vertAlign w:val="superscript"/>
        </w:rPr>
        <w:t>15)</w:t>
      </w:r>
      <w:r>
        <w:rPr>
          <w:rFonts w:ascii="Times New Roman" w:hAnsi="Times New Roman"/>
          <w:sz w:val="24"/>
        </w:rPr>
        <w:t xml:space="preserve"> These facilities operate on the principle of reversible water transfer between upper and lower reservoirs, a concept directly applicable to the proposed framework. The EU CORDIS project</w:t>
      </w:r>
      <w:r>
        <w:rPr>
          <w:rFonts w:ascii="Times New Roman" w:hAnsi="Times New Roman"/>
          <w:sz w:val="18"/>
          <w:vertAlign w:val="superscript"/>
        </w:rPr>
        <w:t>16)</w:t>
      </w:r>
      <w:r>
        <w:rPr>
          <w:rFonts w:ascii="Times New Roman" w:hAnsi="Times New Roman"/>
          <w:sz w:val="24"/>
        </w:rPr>
        <w:t xml:space="preserve"> investigated energy recovery from flood protection reservoir releases, establishing the technical feasibility of combining flood control with energy generation. Chang et al.</w:t>
      </w:r>
      <w:r>
        <w:rPr>
          <w:rFonts w:ascii="Times New Roman" w:hAnsi="Times New Roman"/>
          <w:sz w:val="18"/>
          <w:vertAlign w:val="superscript"/>
        </w:rPr>
        <w:t>17)</w:t>
      </w:r>
      <w:r>
        <w:rPr>
          <w:rFonts w:ascii="Times New Roman" w:hAnsi="Times New Roman"/>
          <w:sz w:val="24"/>
        </w:rPr>
        <w:t xml:space="preserve"> proposed a multi-scenario water level drawdown method for flood resource utilisation at cascade hydropower stations, demonstrating the potential for integrating flood management with hydropower operation.</w:t>
      </w:r>
    </w:p>
    <w:p>
      <w:pPr>
        <w:spacing w:before="360" w:after="120"/>
      </w:pPr>
      <w:r>
        <w:rPr>
          <w:rFonts w:ascii="Times New Roman" w:hAnsi="Times New Roman"/>
          <w:b/>
          <w:sz w:val="24"/>
        </w:rPr>
        <w:t>(4) Japan's topographic advantages</w:t>
      </w:r>
    </w:p>
    <w:p>
      <w:pPr>
        <w:ind w:firstLine="480"/>
      </w:pPr>
      <w:r>
        <w:rPr>
          <w:rFonts w:ascii="Times New Roman" w:hAnsi="Times New Roman"/>
          <w:sz w:val="24"/>
        </w:rPr>
        <w:t>Japan's rivers are characterised by exceptionally steep gradients compared with major rivers worldwide.</w:t>
      </w:r>
      <w:r>
        <w:rPr>
          <w:rFonts w:ascii="Times New Roman" w:hAnsi="Times New Roman"/>
          <w:sz w:val="18"/>
          <w:vertAlign w:val="superscript"/>
        </w:rPr>
        <w:t>18)</w:t>
      </w:r>
      <w:r>
        <w:rPr>
          <w:rFonts w:ascii="Times New Roman" w:hAnsi="Times New Roman"/>
          <w:sz w:val="24"/>
        </w:rPr>
        <w:t xml:space="preserve"> The Shinano River, the longest in Japan at 367 km, has a gradient 5-20 times steeper than major continental rivers such as the Mississippi (3,730 km) or the Mekong (4,350 km). This steep terrain provides two advantages for the proposed framework: high energy yield from relatively short discharge distances, and short inter-watershed distances (typically several to tens of kilometres) that facilitate groundwater transfer between adjacent basins.</w:t>
      </w:r>
    </w:p>
    <w:p>
      <w:pPr>
        <w:spacing w:before="360" w:after="120"/>
      </w:pPr>
      <w:r>
        <w:rPr>
          <w:rFonts w:ascii="Times New Roman" w:hAnsi="Times New Roman"/>
          <w:b/>
          <w:sz w:val="28"/>
        </w:rPr>
        <w:t>3. PROPOSED FRAMEWORK</w:t>
      </w:r>
    </w:p>
    <w:p>
      <w:pPr>
        <w:ind w:firstLine="480"/>
      </w:pPr>
      <w:r>
        <w:rPr>
          <w:rFonts w:ascii="Times New Roman" w:hAnsi="Times New Roman"/>
          <w:sz w:val="24"/>
        </w:rPr>
        <w:t>The proposed Planned-Release Hydropower-Groundwater Management Integrated Flood Control Framework (PRHG-FCF) consists of the following four phases:</w:t>
      </w:r>
    </w:p>
    <w:p>
      <w:pPr>
        <w:ind w:firstLine="0"/>
      </w:pPr>
      <w:r>
        <w:rPr>
          <w:rFonts w:ascii="Times New Roman" w:hAnsi="Times New Roman"/>
          <w:sz w:val="24"/>
        </w:rPr>
        <w:t>Phase 1 (Pre-flood preparation): Based on weather forecasts and upstream hydrological observations, dam operators initiate planned discharge at a controlled rate. The discharge drives turbines installed in the dam outlet works, generating electricity.</w:t>
      </w:r>
    </w:p>
    <w:p>
      <w:pPr>
        <w:ind w:firstLine="0"/>
      </w:pPr>
      <w:r>
        <w:rPr>
          <w:rFonts w:ascii="Times New Roman" w:hAnsi="Times New Roman"/>
          <w:sz w:val="24"/>
        </w:rPr>
        <w:t>Phase 2 (Groundwater pre-emptive pumping): Using the generated electricity, groundwater pumps in the adjacent watershed lower the water table by a predetermined depth (e.g., 3 m), creating subsurface storage capacity in the aquifer.</w:t>
      </w:r>
    </w:p>
    <w:p>
      <w:pPr>
        <w:ind w:firstLine="0"/>
      </w:pPr>
      <w:r>
        <w:rPr>
          <w:rFonts w:ascii="Times New Roman" w:hAnsi="Times New Roman"/>
          <w:sz w:val="24"/>
        </w:rPr>
        <w:t>Phase 3 (Flood absorption): During the flood event, surface floodwaters infiltrate into the pre-emptied aquifer through natural infiltration and engineered recharge facilities (infiltration basins, injection wells), reducing surface runoff volume and peak discharge.</w:t>
      </w:r>
    </w:p>
    <w:p>
      <w:pPr>
        <w:ind w:firstLine="0"/>
      </w:pPr>
      <w:r>
        <w:rPr>
          <w:rFonts w:ascii="Times New Roman" w:hAnsi="Times New Roman"/>
          <w:sz w:val="24"/>
        </w:rPr>
        <w:t>Phase 4 (Post-flood recovery): After the flood recedes, the aquifer naturally recharges over weeks to months, restoring groundwater levels. The recharged groundwater can subsequently be used for agricultural irrigation or municipal supply, creating a beneficial water cycle.</w:t>
      </w:r>
    </w:p>
    <w:p>
      <w:pPr>
        <w:ind w:firstLine="480"/>
      </w:pPr>
      <w:r>
        <w:rPr>
          <w:rFonts w:ascii="Times New Roman" w:hAnsi="Times New Roman"/>
          <w:sz w:val="24"/>
        </w:rPr>
        <w:t>The energy balance of this system can be expressed as follows. The hydropower generation capacity P_gen is calculated as P_gen = η_t × ρ × g × Q × H, where η_t is the turbine efficiency (0.85), ρ is the water density (1,000 kg/m³), g is gravitational acceleration (9.81 m/s²), Q is the discharge rate (m³/s), and H is the effective head (m). The pumping power P_pump required for groundwater extraction is P_pump = (ρ × g × Q_p × H_p) / η_p, where Q_p is the pumping rate, H_p is the pumping head, and η_p is the pump efficiency (0.80). The framework is energetically self-sustaining when P_gen &gt; P_pump, and the surplus energy P_surplus = P_gen - P_pump can be supplied to the electrical grid (Fig. 1).</w:t>
      </w:r>
    </w:p>
    <w:p>
      <w:pPr>
        <w:spacing w:before="360" w:after="120"/>
      </w:pPr>
      <w:r>
        <w:rPr>
          <w:rFonts w:ascii="Times New Roman" w:hAnsi="Times New Roman"/>
          <w:b/>
          <w:sz w:val="28"/>
        </w:rPr>
        <w:t>4. STUDY AREA AND THE 2018 FLOOD EVENT</w:t>
      </w:r>
    </w:p>
    <w:p>
      <w:pPr>
        <w:spacing w:before="360" w:after="120"/>
      </w:pPr>
      <w:r>
        <w:rPr>
          <w:rFonts w:ascii="Times New Roman" w:hAnsi="Times New Roman"/>
          <w:b/>
          <w:sz w:val="24"/>
        </w:rPr>
        <w:t>(1) Overview of the Oda River-Takahashi River basin</w:t>
      </w:r>
    </w:p>
    <w:p>
      <w:pPr>
        <w:ind w:firstLine="480"/>
      </w:pPr>
      <w:r>
        <w:rPr>
          <w:rFonts w:ascii="Times New Roman" w:hAnsi="Times New Roman"/>
          <w:sz w:val="24"/>
        </w:rPr>
        <w:t>The Oda River is a Class A river with a basin area of approximately 211 km² in Okayama Prefecture, western Japan. It flows through a relatively flat plain before joining the Takahashi River at a bed gradient of approximately 1/2200.</w:t>
      </w:r>
      <w:r>
        <w:rPr>
          <w:rFonts w:ascii="Times New Roman" w:hAnsi="Times New Roman"/>
          <w:sz w:val="18"/>
          <w:vertAlign w:val="superscript"/>
        </w:rPr>
        <w:t>2)</w:t>
      </w:r>
      <w:r>
        <w:rPr>
          <w:rFonts w:ascii="Times New Roman" w:hAnsi="Times New Roman"/>
          <w:sz w:val="24"/>
        </w:rPr>
        <w:t xml:space="preserve"> During high water events on the Takahashi River, the backwater effect propagates upstream along the Oda River, maintaining elevated water levels for extended periods.</w:t>
      </w:r>
      <w:r>
        <w:rPr>
          <w:rFonts w:ascii="Times New Roman" w:hAnsi="Times New Roman"/>
          <w:sz w:val="18"/>
          <w:vertAlign w:val="superscript"/>
        </w:rPr>
        <w:t>8)</w:t>
      </w:r>
      <w:r>
        <w:rPr>
          <w:rFonts w:ascii="Times New Roman" w:hAnsi="Times New Roman"/>
          <w:sz w:val="24"/>
        </w:rPr>
      </w:r>
    </w:p>
    <w:p>
      <w:pPr>
        <w:spacing w:before="360" w:after="120"/>
      </w:pPr>
      <w:r>
        <w:rPr>
          <w:rFonts w:ascii="Times New Roman" w:hAnsi="Times New Roman"/>
          <w:b/>
          <w:sz w:val="24"/>
        </w:rPr>
        <w:t>(2) The 2018 Western Japan Heavy Rainfall</w:t>
      </w:r>
    </w:p>
    <w:p>
      <w:pPr>
        <w:ind w:firstLine="480"/>
      </w:pPr>
      <w:r>
        <w:rPr>
          <w:rFonts w:ascii="Times New Roman" w:hAnsi="Times New Roman"/>
          <w:sz w:val="24"/>
        </w:rPr>
        <w:t>From 5 to 8 July 2018, a quasi-stationary front brought record-breaking rainfall to western Japan: a 3-day cumulative rainfall of approximately 320 mm in the Takahashi River basin.</w:t>
      </w:r>
      <w:r>
        <w:rPr>
          <w:rFonts w:ascii="Times New Roman" w:hAnsi="Times New Roman"/>
          <w:sz w:val="18"/>
          <w:vertAlign w:val="superscript"/>
        </w:rPr>
        <w:t>1)</w:t>
      </w:r>
      <w:r>
        <w:rPr>
          <w:rFonts w:ascii="Times New Roman" w:hAnsi="Times New Roman"/>
          <w:sz w:val="24"/>
        </w:rPr>
        <w:t xml:space="preserve"> The resulting rapid rise in the Takahashi River main stream caused a severe backwater effect on the Oda River. Levees breached at five locations, inundating 8.28 km² with a total flood volume of approximately 15.3 × 10⁶ m³.</w:t>
      </w:r>
      <w:r>
        <w:rPr>
          <w:rFonts w:ascii="Times New Roman" w:hAnsi="Times New Roman"/>
          <w:sz w:val="18"/>
          <w:vertAlign w:val="superscript"/>
        </w:rPr>
        <w:t>1)</w:t>
      </w:r>
      <w:r>
        <w:rPr>
          <w:rFonts w:ascii="Times New Roman" w:hAnsi="Times New Roman"/>
          <w:sz w:val="24"/>
        </w:rPr>
      </w:r>
    </w:p>
    <w:p>
      <w:pPr>
        <w:spacing w:before="240"/>
      </w:pPr>
      <w:r>
        <w:rPr>
          <w:rFonts w:ascii="Times New Roman" w:hAnsi="Times New Roman"/>
          <w:b/>
          <w:sz w:val="20"/>
        </w:rPr>
        <w:t>Table 1 Summary of the 2018 flood event in the Oda River-Takahashi River basin</w:t>
      </w:r>
    </w:p>
    <w:tbl>
      <w:tblPr>
        <w:tblStyle w:val="TableGrid"/>
        <w:tblW w:type="auto" w:w="0"/>
        <w:tblLook w:firstColumn="1" w:firstRow="1" w:lastColumn="0" w:lastRow="0" w:noHBand="0" w:noVBand="1" w:val="04A0"/>
      </w:tblPr>
      <w:tblGrid>
        <w:gridCol w:w="4536"/>
        <w:gridCol w:w="4536"/>
      </w:tblGrid>
      <w:tr>
        <w:tc>
          <w:tcPr>
            <w:tcW w:type="dxa" w:w="4536"/>
          </w:tcPr>
          <w:p>
            <w:r/>
            <w:r>
              <w:rPr>
                <w:rFonts w:ascii="Times New Roman" w:hAnsi="Times New Roman"/>
                <w:b/>
                <w:sz w:val="20"/>
              </w:rPr>
              <w:t>Parameter</w:t>
            </w:r>
          </w:p>
        </w:tc>
        <w:tc>
          <w:tcPr>
            <w:tcW w:type="dxa" w:w="4536"/>
          </w:tcPr>
          <w:p>
            <w:r/>
            <w:r>
              <w:rPr>
                <w:rFonts w:ascii="Times New Roman" w:hAnsi="Times New Roman"/>
                <w:b/>
                <w:sz w:val="20"/>
              </w:rPr>
              <w:t>Value</w:t>
            </w:r>
          </w:p>
        </w:tc>
      </w:tr>
      <w:tr>
        <w:tc>
          <w:tcPr>
            <w:tcW w:type="dxa" w:w="4536"/>
          </w:tcPr>
          <w:p>
            <w:r/>
            <w:r>
              <w:rPr>
                <w:rFonts w:ascii="Times New Roman" w:hAnsi="Times New Roman"/>
                <w:sz w:val="20"/>
              </w:rPr>
              <w:t>3-day cumulative rainfall</w:t>
            </w:r>
          </w:p>
        </w:tc>
        <w:tc>
          <w:tcPr>
            <w:tcW w:type="dxa" w:w="4536"/>
          </w:tcPr>
          <w:p>
            <w:r/>
            <w:r>
              <w:rPr>
                <w:rFonts w:ascii="Times New Roman" w:hAnsi="Times New Roman"/>
                <w:sz w:val="20"/>
              </w:rPr>
              <w:t>~320 mm</w:t>
            </w:r>
          </w:p>
        </w:tc>
      </w:tr>
      <w:tr>
        <w:tc>
          <w:tcPr>
            <w:tcW w:type="dxa" w:w="4536"/>
          </w:tcPr>
          <w:p>
            <w:r/>
            <w:r>
              <w:rPr>
                <w:rFonts w:ascii="Times New Roman" w:hAnsi="Times New Roman"/>
                <w:sz w:val="20"/>
              </w:rPr>
              <w:t>Inundation area</w:t>
            </w:r>
          </w:p>
        </w:tc>
        <w:tc>
          <w:tcPr>
            <w:tcW w:type="dxa" w:w="4536"/>
          </w:tcPr>
          <w:p>
            <w:r/>
            <w:r>
              <w:rPr>
                <w:rFonts w:ascii="Times New Roman" w:hAnsi="Times New Roman"/>
                <w:sz w:val="20"/>
              </w:rPr>
              <w:t>8.28 km²</w:t>
            </w:r>
          </w:p>
        </w:tc>
      </w:tr>
      <w:tr>
        <w:tc>
          <w:tcPr>
            <w:tcW w:type="dxa" w:w="4536"/>
          </w:tcPr>
          <w:p>
            <w:r/>
            <w:r>
              <w:rPr>
                <w:rFonts w:ascii="Times New Roman" w:hAnsi="Times New Roman"/>
                <w:sz w:val="20"/>
              </w:rPr>
              <w:t>Flood volume</w:t>
            </w:r>
          </w:p>
        </w:tc>
        <w:tc>
          <w:tcPr>
            <w:tcW w:type="dxa" w:w="4536"/>
          </w:tcPr>
          <w:p>
            <w:r/>
            <w:r>
              <w:rPr>
                <w:rFonts w:ascii="Times New Roman" w:hAnsi="Times New Roman"/>
                <w:sz w:val="20"/>
              </w:rPr>
              <w:t>~15.3 × 10⁶ m³</w:t>
            </w:r>
          </w:p>
        </w:tc>
      </w:tr>
      <w:tr>
        <w:tc>
          <w:tcPr>
            <w:tcW w:type="dxa" w:w="4536"/>
          </w:tcPr>
          <w:p>
            <w:r/>
            <w:r>
              <w:rPr>
                <w:rFonts w:ascii="Times New Roman" w:hAnsi="Times New Roman"/>
                <w:sz w:val="20"/>
              </w:rPr>
              <w:t>Levee breaches</w:t>
            </w:r>
          </w:p>
        </w:tc>
        <w:tc>
          <w:tcPr>
            <w:tcW w:type="dxa" w:w="4536"/>
          </w:tcPr>
          <w:p>
            <w:r/>
            <w:r>
              <w:rPr>
                <w:rFonts w:ascii="Times New Roman" w:hAnsi="Times New Roman"/>
                <w:sz w:val="20"/>
              </w:rPr>
              <w:t>5 locations</w:t>
            </w:r>
          </w:p>
        </w:tc>
      </w:tr>
      <w:tr>
        <w:tc>
          <w:tcPr>
            <w:tcW w:type="dxa" w:w="4536"/>
          </w:tcPr>
          <w:p>
            <w:r/>
            <w:r>
              <w:rPr>
                <w:rFonts w:ascii="Times New Roman" w:hAnsi="Times New Roman"/>
                <w:sz w:val="20"/>
              </w:rPr>
              <w:t>Fatalities (Mabi-cho)</w:t>
            </w:r>
          </w:p>
        </w:tc>
        <w:tc>
          <w:tcPr>
            <w:tcW w:type="dxa" w:w="4536"/>
          </w:tcPr>
          <w:p>
            <w:r/>
            <w:r>
              <w:rPr>
                <w:rFonts w:ascii="Times New Roman" w:hAnsi="Times New Roman"/>
                <w:sz w:val="20"/>
              </w:rPr>
              <w:t>51</w:t>
            </w:r>
          </w:p>
        </w:tc>
      </w:tr>
      <w:tr>
        <w:tc>
          <w:tcPr>
            <w:tcW w:type="dxa" w:w="4536"/>
          </w:tcPr>
          <w:p>
            <w:r/>
            <w:r>
              <w:rPr>
                <w:rFonts w:ascii="Times New Roman" w:hAnsi="Times New Roman"/>
                <w:sz w:val="20"/>
              </w:rPr>
              <w:t>Basin area (Oda River)</w:t>
            </w:r>
          </w:p>
        </w:tc>
        <w:tc>
          <w:tcPr>
            <w:tcW w:type="dxa" w:w="4536"/>
          </w:tcPr>
          <w:p>
            <w:r/>
            <w:r>
              <w:rPr>
                <w:rFonts w:ascii="Times New Roman" w:hAnsi="Times New Roman"/>
                <w:sz w:val="20"/>
              </w:rPr>
              <w:t>~211 km²</w:t>
            </w:r>
          </w:p>
        </w:tc>
      </w:tr>
      <w:tr>
        <w:tc>
          <w:tcPr>
            <w:tcW w:type="dxa" w:w="4536"/>
          </w:tcPr>
          <w:p>
            <w:r/>
            <w:r>
              <w:rPr>
                <w:rFonts w:ascii="Times New Roman" w:hAnsi="Times New Roman"/>
                <w:sz w:val="20"/>
              </w:rPr>
              <w:t>Bed gradient (Oda River)</w:t>
            </w:r>
          </w:p>
        </w:tc>
        <w:tc>
          <w:tcPr>
            <w:tcW w:type="dxa" w:w="4536"/>
          </w:tcPr>
          <w:p>
            <w:r/>
            <w:r>
              <w:rPr>
                <w:rFonts w:ascii="Times New Roman" w:hAnsi="Times New Roman"/>
                <w:sz w:val="20"/>
              </w:rPr>
              <w:t>~1/2200</w:t>
            </w:r>
          </w:p>
        </w:tc>
      </w:tr>
    </w:tbl>
    <w:p>
      <w:pPr>
        <w:spacing w:after="160"/>
      </w:pPr>
    </w:p>
    <w:p>
      <w:pPr>
        <w:spacing w:before="360" w:after="120"/>
      </w:pPr>
      <w:r>
        <w:rPr>
          <w:rFonts w:ascii="Times New Roman" w:hAnsi="Times New Roman"/>
          <w:b/>
          <w:sz w:val="24"/>
        </w:rPr>
        <w:t>(3) Confluence relocation project</w:t>
      </w:r>
    </w:p>
    <w:p>
      <w:pPr>
        <w:ind w:firstLine="480"/>
      </w:pPr>
      <w:r>
        <w:rPr>
          <w:rFonts w:ascii="Times New Roman" w:hAnsi="Times New Roman"/>
          <w:sz w:val="24"/>
        </w:rPr>
        <w:t>Following the 2018 disaster, the Ministry of Land, Infrastructure, Transport and Tourism (MLIT) relocated the Oda-Takahashi confluence approximately 4.6 km downstream, completing the project in March 2024.</w:t>
      </w:r>
      <w:r>
        <w:rPr>
          <w:rFonts w:ascii="Times New Roman" w:hAnsi="Times New Roman"/>
          <w:sz w:val="18"/>
          <w:vertAlign w:val="superscript"/>
        </w:rPr>
        <w:t>4)</w:t>
      </w:r>
      <w:r>
        <w:rPr>
          <w:rFonts w:ascii="Times New Roman" w:hAnsi="Times New Roman"/>
          <w:sz w:val="24"/>
        </w:rPr>
        <w:t xml:space="preserve"> During the heavy rainfall of November 2024, the measure was reported to reduce water levels by approximately 4.6 m on the Oda River side and approximately 0.8 m on the Takahashi River side.</w:t>
      </w:r>
      <w:r>
        <w:rPr>
          <w:rFonts w:ascii="Times New Roman" w:hAnsi="Times New Roman"/>
          <w:sz w:val="18"/>
          <w:vertAlign w:val="superscript"/>
        </w:rPr>
        <w:t>4)</w:t>
      </w:r>
      <w:r>
        <w:rPr>
          <w:rFonts w:ascii="Times New Roman" w:hAnsi="Times New Roman"/>
          <w:sz w:val="24"/>
        </w:rPr>
        <w:t xml:space="preserve"> This outcome is consistent with the predictions of Maeno's</w:t>
      </w:r>
      <w:r>
        <w:rPr>
          <w:rFonts w:ascii="Times New Roman" w:hAnsi="Times New Roman"/>
          <w:sz w:val="18"/>
          <w:vertAlign w:val="superscript"/>
        </w:rPr>
        <w:t>8)</w:t>
      </w:r>
      <w:r>
        <w:rPr>
          <w:rFonts w:ascii="Times New Roman" w:hAnsi="Times New Roman"/>
          <w:sz w:val="24"/>
        </w:rPr>
        <w:t xml:space="preserve"> two-dimensional flow analysis.</w:t>
      </w:r>
    </w:p>
    <w:p>
      <w:pPr>
        <w:spacing w:before="360" w:after="120"/>
      </w:pPr>
      <w:r>
        <w:rPr>
          <w:rFonts w:ascii="Times New Roman" w:hAnsi="Times New Roman"/>
          <w:b/>
          <w:sz w:val="28"/>
        </w:rPr>
        <w:t>5. SIMPLIFIED FEASIBILITY ANALYSIS</w:t>
      </w:r>
    </w:p>
    <w:p>
      <w:pPr>
        <w:spacing w:before="360" w:after="120"/>
      </w:pPr>
      <w:r>
        <w:rPr>
          <w:rFonts w:ascii="Times New Roman" w:hAnsi="Times New Roman"/>
          <w:b/>
          <w:sz w:val="24"/>
        </w:rPr>
        <w:t>(1) Energy balance</w:t>
      </w:r>
    </w:p>
    <w:p>
      <w:pPr>
        <w:ind w:firstLine="480"/>
      </w:pPr>
      <w:r>
        <w:rPr>
          <w:rFonts w:ascii="Times New Roman" w:hAnsi="Times New Roman"/>
          <w:sz w:val="24"/>
        </w:rPr>
        <w:t>The energy balance was evaluated over a parameter space of effective head H = 20-200 m and discharge rate Q = 10-100 m³/s (Fig. 1). For a representative scenario of H = 100 m and Q = 50 m³/s, the generated power is P_gen = 0.85 × 1000 × 9.81 × 50 × 100 = 41.7 MW. The power required to pump groundwater at Q_p = 10 m³/s from a depth of H_p = 30 m is P_pump = (1000 × 9.81 × 10 × 30) / 0.80 = 3.68 MW. Thus, the surplus power is P_surplus = 41.7 - 3.68 = 38.0 MW, indicating that the framework achieves energy self-sufficiency with only approximately 9% of the generated power consumed for groundwater management. This is remarkably more efficient than the round-trip efficiency of conventional pumped-storage hydropower (70-80%).</w:t>
      </w:r>
      <w:r>
        <w:rPr>
          <w:rFonts w:ascii="Times New Roman" w:hAnsi="Times New Roman"/>
          <w:sz w:val="18"/>
          <w:vertAlign w:val="superscript"/>
        </w:rPr>
        <w:t>15)</w:t>
      </w:r>
      <w:r>
        <w:rPr>
          <w:rFonts w:ascii="Times New Roman" w:hAnsi="Times New Roman"/>
          <w:sz w:val="24"/>
        </w:rPr>
      </w:r>
    </w:p>
    <w:p>
      <w:pPr>
        <w:spacing w:before="360" w:after="120"/>
      </w:pPr>
      <w:r>
        <w:rPr>
          <w:rFonts w:ascii="Times New Roman" w:hAnsi="Times New Roman"/>
          <w:b/>
          <w:sz w:val="24"/>
        </w:rPr>
        <w:t>(2) Aquifer storage capacity</w:t>
      </w:r>
    </w:p>
    <w:p>
      <w:pPr>
        <w:ind w:firstLine="480"/>
      </w:pPr>
      <w:r>
        <w:rPr>
          <w:rFonts w:ascii="Times New Roman" w:hAnsi="Times New Roman"/>
          <w:sz w:val="24"/>
        </w:rPr>
        <w:t>The aquifer storage capacity was estimated based on the geological characteristics of the adjacent alluvial plain. Assuming a managed area A = 20 km², a water table drawdown Δh = 3 m, and a specific yield S_y = 0.2, the storage volume is V = A × Δh × S_y = 20 × 10⁶ × 3 × 0.2 = 12.0 × 10⁶ m³ (Fig. 2). This represents approximately 78% of the 2018 flood volume (15.3 × 10⁶ m³). However, excessive groundwater drawdown carries the risk of land subsidence.</w:t>
      </w:r>
      <w:r>
        <w:rPr>
          <w:rFonts w:ascii="Times New Roman" w:hAnsi="Times New Roman"/>
          <w:sz w:val="18"/>
          <w:vertAlign w:val="superscript"/>
        </w:rPr>
        <w:t>6)</w:t>
      </w:r>
      <w:r>
        <w:rPr>
          <w:rFonts w:ascii="Times New Roman" w:hAnsi="Times New Roman"/>
          <w:sz w:val="24"/>
        </w:rPr>
        <w:t xml:space="preserve"> The drawdown depth must be carefully calibrated to local geological conditions, with continuous monitoring of subsidence indicators.</w:t>
      </w:r>
    </w:p>
    <w:p>
      <w:pPr>
        <w:spacing w:before="360" w:after="120"/>
      </w:pPr>
      <w:r>
        <w:rPr>
          <w:rFonts w:ascii="Times New Roman" w:hAnsi="Times New Roman"/>
          <w:b/>
          <w:sz w:val="24"/>
        </w:rPr>
        <w:t>(3) Flood hydrograph comparison</w:t>
      </w:r>
    </w:p>
    <w:p>
      <w:pPr>
        <w:ind w:firstLine="480"/>
      </w:pPr>
      <w:r>
        <w:rPr>
          <w:rFonts w:ascii="Times New Roman" w:hAnsi="Times New Roman"/>
          <w:sz w:val="24"/>
        </w:rPr>
        <w:t>A simplified rainfall-runoff model (rational method basis) was used to calculate 72-hour hydrographs for four scenarios simulating the 2018 flood event (Fig. 3): Scenario 1 (no measures) reproduces the 2018 conditions; Scenario 2 (confluence relocation) assumes a 30% effective peak reduction based on the 2024 operational results;</w:t>
      </w:r>
      <w:r>
        <w:rPr>
          <w:rFonts w:ascii="Times New Roman" w:hAnsi="Times New Roman"/>
          <w:sz w:val="18"/>
          <w:vertAlign w:val="superscript"/>
        </w:rPr>
        <w:t>4)</w:t>
      </w:r>
      <w:r>
        <w:rPr>
          <w:rFonts w:ascii="Times New Roman" w:hAnsi="Times New Roman"/>
          <w:sz w:val="24"/>
        </w:rPr>
        <w:t xml:space="preserve"> Scenario 3 (groundwater management) incorporates aquifer infiltration with 3 m pre-drawdown; Scenario 4 (integrated) combines Scenarios 2 and 3.</w:t>
      </w:r>
    </w:p>
    <w:p>
      <w:pPr>
        <w:spacing w:before="240"/>
      </w:pPr>
      <w:r>
        <w:rPr>
          <w:rFonts w:ascii="Times New Roman" w:hAnsi="Times New Roman"/>
          <w:b/>
          <w:sz w:val="20"/>
        </w:rPr>
        <w:t>Table 2 Flood control performance by scenario</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
              <w:rPr>
                <w:rFonts w:ascii="Times New Roman" w:hAnsi="Times New Roman"/>
                <w:b/>
                <w:sz w:val="20"/>
              </w:rPr>
              <w:t>Scenario</w:t>
            </w:r>
          </w:p>
        </w:tc>
        <w:tc>
          <w:tcPr>
            <w:tcW w:type="dxa" w:w="2268"/>
          </w:tcPr>
          <w:p>
            <w:r/>
            <w:r>
              <w:rPr>
                <w:rFonts w:ascii="Times New Roman" w:hAnsi="Times New Roman"/>
                <w:b/>
                <w:sz w:val="20"/>
              </w:rPr>
              <w:t>Peak discharge [m³/s]</w:t>
            </w:r>
          </w:p>
        </w:tc>
        <w:tc>
          <w:tcPr>
            <w:tcW w:type="dxa" w:w="2268"/>
          </w:tcPr>
          <w:p>
            <w:r/>
            <w:r>
              <w:rPr>
                <w:rFonts w:ascii="Times New Roman" w:hAnsi="Times New Roman"/>
                <w:b/>
                <w:sz w:val="20"/>
              </w:rPr>
              <w:t>Reduction [%]</w:t>
            </w:r>
          </w:p>
        </w:tc>
        <w:tc>
          <w:tcPr>
            <w:tcW w:type="dxa" w:w="2268"/>
          </w:tcPr>
          <w:p>
            <w:r/>
            <w:r>
              <w:rPr>
                <w:rFonts w:ascii="Times New Roman" w:hAnsi="Times New Roman"/>
                <w:b/>
                <w:sz w:val="20"/>
              </w:rPr>
              <w:t>Cumulative infiltration [×10⁶ m³]</w:t>
            </w:r>
          </w:p>
        </w:tc>
      </w:tr>
      <w:tr>
        <w:tc>
          <w:tcPr>
            <w:tcW w:type="dxa" w:w="2268"/>
          </w:tcPr>
          <w:p>
            <w:r/>
            <w:r>
              <w:rPr>
                <w:rFonts w:ascii="Times New Roman" w:hAnsi="Times New Roman"/>
                <w:sz w:val="20"/>
              </w:rPr>
              <w:t>1: No measures</w:t>
            </w:r>
          </w:p>
        </w:tc>
        <w:tc>
          <w:tcPr>
            <w:tcW w:type="dxa" w:w="2268"/>
          </w:tcPr>
          <w:p>
            <w:r/>
            <w:r>
              <w:rPr>
                <w:rFonts w:ascii="Times New Roman" w:hAnsi="Times New Roman"/>
                <w:sz w:val="20"/>
              </w:rPr>
              <w:t>1,237</w:t>
            </w:r>
          </w:p>
        </w:tc>
        <w:tc>
          <w:tcPr>
            <w:tcW w:type="dxa" w:w="2268"/>
          </w:tcPr>
          <w:p>
            <w:r/>
            <w:r>
              <w:rPr>
                <w:rFonts w:ascii="Times New Roman" w:hAnsi="Times New Roman"/>
                <w:sz w:val="20"/>
              </w:rPr>
              <w:t>—</w:t>
            </w:r>
          </w:p>
        </w:tc>
        <w:tc>
          <w:tcPr>
            <w:tcW w:type="dxa" w:w="2268"/>
          </w:tcPr>
          <w:p>
            <w:r/>
            <w:r>
              <w:rPr>
                <w:rFonts w:ascii="Times New Roman" w:hAnsi="Times New Roman"/>
                <w:sz w:val="20"/>
              </w:rPr>
              <w:t>—</w:t>
            </w:r>
          </w:p>
        </w:tc>
      </w:tr>
      <w:tr>
        <w:tc>
          <w:tcPr>
            <w:tcW w:type="dxa" w:w="2268"/>
          </w:tcPr>
          <w:p>
            <w:r/>
            <w:r>
              <w:rPr>
                <w:rFonts w:ascii="Times New Roman" w:hAnsi="Times New Roman"/>
                <w:sz w:val="20"/>
              </w:rPr>
              <w:t>2: Confluence relocation</w:t>
            </w:r>
          </w:p>
        </w:tc>
        <w:tc>
          <w:tcPr>
            <w:tcW w:type="dxa" w:w="2268"/>
          </w:tcPr>
          <w:p>
            <w:r/>
            <w:r>
              <w:rPr>
                <w:rFonts w:ascii="Times New Roman" w:hAnsi="Times New Roman"/>
                <w:sz w:val="20"/>
              </w:rPr>
              <w:t>866</w:t>
            </w:r>
          </w:p>
        </w:tc>
        <w:tc>
          <w:tcPr>
            <w:tcW w:type="dxa" w:w="2268"/>
          </w:tcPr>
          <w:p>
            <w:r/>
            <w:r>
              <w:rPr>
                <w:rFonts w:ascii="Times New Roman" w:hAnsi="Times New Roman"/>
                <w:sz w:val="20"/>
              </w:rPr>
              <w:t>30</w:t>
            </w:r>
          </w:p>
        </w:tc>
        <w:tc>
          <w:tcPr>
            <w:tcW w:type="dxa" w:w="2268"/>
          </w:tcPr>
          <w:p>
            <w:r/>
            <w:r>
              <w:rPr>
                <w:rFonts w:ascii="Times New Roman" w:hAnsi="Times New Roman"/>
                <w:sz w:val="20"/>
              </w:rPr>
              <w:t>—</w:t>
            </w:r>
          </w:p>
        </w:tc>
      </w:tr>
      <w:tr>
        <w:tc>
          <w:tcPr>
            <w:tcW w:type="dxa" w:w="2268"/>
          </w:tcPr>
          <w:p>
            <w:r/>
            <w:r>
              <w:rPr>
                <w:rFonts w:ascii="Times New Roman" w:hAnsi="Times New Roman"/>
                <w:sz w:val="20"/>
              </w:rPr>
              <w:t>3: Groundwater management</w:t>
            </w:r>
          </w:p>
        </w:tc>
        <w:tc>
          <w:tcPr>
            <w:tcW w:type="dxa" w:w="2268"/>
          </w:tcPr>
          <w:p>
            <w:r/>
            <w:r>
              <w:rPr>
                <w:rFonts w:ascii="Times New Roman" w:hAnsi="Times New Roman"/>
                <w:sz w:val="20"/>
              </w:rPr>
              <w:t>1,207</w:t>
            </w:r>
          </w:p>
        </w:tc>
        <w:tc>
          <w:tcPr>
            <w:tcW w:type="dxa" w:w="2268"/>
          </w:tcPr>
          <w:p>
            <w:r/>
            <w:r>
              <w:rPr>
                <w:rFonts w:ascii="Times New Roman" w:hAnsi="Times New Roman"/>
                <w:sz w:val="20"/>
              </w:rPr>
              <w:t>2</w:t>
            </w:r>
          </w:p>
        </w:tc>
        <w:tc>
          <w:tcPr>
            <w:tcW w:type="dxa" w:w="2268"/>
          </w:tcPr>
          <w:p>
            <w:r/>
            <w:r>
              <w:rPr>
                <w:rFonts w:ascii="Times New Roman" w:hAnsi="Times New Roman"/>
                <w:sz w:val="20"/>
              </w:rPr>
              <w:t>6.24</w:t>
            </w:r>
          </w:p>
        </w:tc>
      </w:tr>
      <w:tr>
        <w:tc>
          <w:tcPr>
            <w:tcW w:type="dxa" w:w="2268"/>
          </w:tcPr>
          <w:p>
            <w:r/>
            <w:r>
              <w:rPr>
                <w:rFonts w:ascii="Times New Roman" w:hAnsi="Times New Roman"/>
                <w:sz w:val="20"/>
              </w:rPr>
              <w:t>4: Integrated</w:t>
            </w:r>
          </w:p>
        </w:tc>
        <w:tc>
          <w:tcPr>
            <w:tcW w:type="dxa" w:w="2268"/>
          </w:tcPr>
          <w:p>
            <w:r/>
            <w:r>
              <w:rPr>
                <w:rFonts w:ascii="Times New Roman" w:hAnsi="Times New Roman"/>
                <w:sz w:val="20"/>
              </w:rPr>
              <w:t>845</w:t>
            </w:r>
          </w:p>
        </w:tc>
        <w:tc>
          <w:tcPr>
            <w:tcW w:type="dxa" w:w="2268"/>
          </w:tcPr>
          <w:p>
            <w:r/>
            <w:r>
              <w:rPr>
                <w:rFonts w:ascii="Times New Roman" w:hAnsi="Times New Roman"/>
                <w:sz w:val="20"/>
              </w:rPr>
              <w:t>32</w:t>
            </w:r>
          </w:p>
        </w:tc>
        <w:tc>
          <w:tcPr>
            <w:tcW w:type="dxa" w:w="2268"/>
          </w:tcPr>
          <w:p>
            <w:r/>
            <w:r>
              <w:rPr>
                <w:rFonts w:ascii="Times New Roman" w:hAnsi="Times New Roman"/>
                <w:sz w:val="20"/>
              </w:rPr>
              <w:t>6.24</w:t>
            </w:r>
          </w:p>
        </w:tc>
      </w:tr>
    </w:tbl>
    <w:p>
      <w:pPr>
        <w:spacing w:after="160"/>
      </w:pPr>
    </w:p>
    <w:p>
      <w:pPr>
        <w:ind w:firstLine="480"/>
      </w:pPr>
      <w:r>
        <w:rPr>
          <w:rFonts w:ascii="Times New Roman" w:hAnsi="Times New Roman"/>
          <w:sz w:val="24"/>
        </w:rPr>
        <w:t>The results (Table 2, Fig. 4) indicate that groundwater management alone (Scenario 3) yields a modest 2% peak reduction, constrained by aquifer infiltration rates. However, cumulative infiltration reaches 6.24 × 10⁶ m³, equivalent to approximately 41% of the 2018 flood volume, significantly reducing post-flood drainage loads. The integrated scenario (Scenario 4) achieves a 32% peak discharge reduction through the synergistic combination of structural and groundwater-based measures.</w:t>
      </w:r>
    </w:p>
    <w:p>
      <w:pPr>
        <w:spacing w:before="360" w:after="120"/>
      </w:pPr>
      <w:r>
        <w:rPr>
          <w:rFonts w:ascii="Times New Roman" w:hAnsi="Times New Roman"/>
          <w:b/>
          <w:sz w:val="28"/>
        </w:rPr>
        <w:t>6. APPLICABILITY TO THE TOKYO METROPOLITAN AREA (ARAKAWA-EDOGAWA BASIN)</w:t>
      </w:r>
    </w:p>
    <w:p>
      <w:pPr>
        <w:spacing w:before="360" w:after="120"/>
      </w:pPr>
      <w:r>
        <w:rPr>
          <w:rFonts w:ascii="Times New Roman" w:hAnsi="Times New Roman"/>
          <w:b/>
          <w:sz w:val="24"/>
        </w:rPr>
        <w:t>(1) Existing flood control infrastructure</w:t>
      </w:r>
    </w:p>
    <w:p>
      <w:pPr>
        <w:ind w:firstLine="480"/>
      </w:pPr>
      <w:r>
        <w:rPr>
          <w:rFonts w:ascii="Times New Roman" w:hAnsi="Times New Roman"/>
          <w:sz w:val="24"/>
        </w:rPr>
        <w:t>The Arakawa-Edogawa basin in the Tokyo metropolitan area possesses a multi-layered flood control system developed since the Meiji era (Table 3). The Arakawa Floodway (completed 1930, 22 km) controls floodwater entry into the Sumida River. The Iwabuchi Sluice Gate regulates water levels at the Arakawa-Sumida bifurcation.</w:t>
      </w:r>
      <w:r>
        <w:rPr>
          <w:rFonts w:ascii="Times New Roman" w:hAnsi="Times New Roman"/>
          <w:sz w:val="18"/>
          <w:vertAlign w:val="superscript"/>
        </w:rPr>
        <w:t>22)</w:t>
      </w:r>
      <w:r>
        <w:rPr>
          <w:rFonts w:ascii="Times New Roman" w:hAnsi="Times New Roman"/>
          <w:sz w:val="24"/>
        </w:rPr>
        <w:t xml:space="preserve"> The Saiko Retarding Basin has an area of 5.85 km² and a storage capacity of 39 × 10⁶ m³.</w:t>
      </w:r>
      <w:r>
        <w:rPr>
          <w:rFonts w:ascii="Times New Roman" w:hAnsi="Times New Roman"/>
          <w:sz w:val="18"/>
          <w:vertAlign w:val="superscript"/>
        </w:rPr>
        <w:t>23)</w:t>
      </w:r>
      <w:r>
        <w:rPr>
          <w:rFonts w:ascii="Times New Roman" w:hAnsi="Times New Roman"/>
          <w:sz w:val="24"/>
        </w:rPr>
        <w:t xml:space="preserve"> Three upstream dams (Urayama, Futase, Takizawa) provide additional flood regulation. The MAOUDC diverts floodwaters from five rivers into the Edogawa River at a maximum capacity of 200 m³/s.</w:t>
      </w:r>
      <w:r>
        <w:rPr>
          <w:rFonts w:ascii="Times New Roman" w:hAnsi="Times New Roman"/>
          <w:sz w:val="18"/>
          <w:vertAlign w:val="superscript"/>
        </w:rPr>
        <w:t>7)</w:t>
      </w:r>
      <w:r>
        <w:rPr>
          <w:rFonts w:ascii="Times New Roman" w:hAnsi="Times New Roman"/>
          <w:sz w:val="24"/>
        </w:rPr>
        <w:t xml:space="preserve"> Super-levees are under construction along the lower Arakawa, with approximately 15% of the managed levee length completed or under construction.</w:t>
      </w:r>
      <w:r>
        <w:rPr>
          <w:rFonts w:ascii="Times New Roman" w:hAnsi="Times New Roman"/>
          <w:sz w:val="18"/>
          <w:vertAlign w:val="superscript"/>
        </w:rPr>
        <w:t>22)</w:t>
      </w:r>
      <w:r>
        <w:rPr>
          <w:rFonts w:ascii="Times New Roman" w:hAnsi="Times New Roman"/>
          <w:sz w:val="24"/>
        </w:rPr>
      </w:r>
    </w:p>
    <w:p>
      <w:pPr>
        <w:spacing w:before="240"/>
      </w:pPr>
      <w:r>
        <w:rPr>
          <w:rFonts w:ascii="Times New Roman" w:hAnsi="Times New Roman"/>
          <w:b/>
          <w:sz w:val="20"/>
        </w:rPr>
        <w:t>Table 3 Major flood control facilities in the Arakawa-Edogawa basin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
              <w:rPr>
                <w:rFonts w:ascii="Times New Roman" w:hAnsi="Times New Roman"/>
                <w:b/>
                <w:sz w:val="20"/>
              </w:rPr>
              <w:t>Facility</w:t>
            </w:r>
          </w:p>
        </w:tc>
        <w:tc>
          <w:tcPr>
            <w:tcW w:type="dxa" w:w="2268"/>
          </w:tcPr>
          <w:p>
            <w:r/>
            <w:r>
              <w:rPr>
                <w:rFonts w:ascii="Times New Roman" w:hAnsi="Times New Roman"/>
                <w:b/>
                <w:sz w:val="20"/>
              </w:rPr>
              <w:t>Type</w:t>
            </w:r>
          </w:p>
        </w:tc>
        <w:tc>
          <w:tcPr>
            <w:tcW w:type="dxa" w:w="2268"/>
          </w:tcPr>
          <w:p>
            <w:r/>
            <w:r>
              <w:rPr>
                <w:rFonts w:ascii="Times New Roman" w:hAnsi="Times New Roman"/>
                <w:b/>
                <w:sz w:val="20"/>
              </w:rPr>
              <w:t>Capacity/Scale</w:t>
            </w:r>
          </w:p>
        </w:tc>
        <w:tc>
          <w:tcPr>
            <w:tcW w:type="dxa" w:w="2268"/>
          </w:tcPr>
          <w:p>
            <w:r/>
            <w:r>
              <w:rPr>
                <w:rFonts w:ascii="Times New Roman" w:hAnsi="Times New Roman"/>
                <w:b/>
                <w:sz w:val="20"/>
              </w:rPr>
              <w:t>Remarks</w:t>
            </w:r>
          </w:p>
        </w:tc>
      </w:tr>
      <w:tr>
        <w:tc>
          <w:tcPr>
            <w:tcW w:type="dxa" w:w="2268"/>
          </w:tcPr>
          <w:p>
            <w:r/>
            <w:r>
              <w:rPr>
                <w:rFonts w:ascii="Times New Roman" w:hAnsi="Times New Roman"/>
                <w:sz w:val="20"/>
              </w:rPr>
              <w:t>Arakawa Floodway</w:t>
            </w:r>
          </w:p>
        </w:tc>
        <w:tc>
          <w:tcPr>
            <w:tcW w:type="dxa" w:w="2268"/>
          </w:tcPr>
          <w:p>
            <w:r/>
            <w:r>
              <w:rPr>
                <w:rFonts w:ascii="Times New Roman" w:hAnsi="Times New Roman"/>
                <w:sz w:val="20"/>
              </w:rPr>
              <w:t>Diversion channel</w:t>
            </w:r>
          </w:p>
        </w:tc>
        <w:tc>
          <w:tcPr>
            <w:tcW w:type="dxa" w:w="2268"/>
          </w:tcPr>
          <w:p>
            <w:r/>
            <w:r>
              <w:rPr>
                <w:rFonts w:ascii="Times New Roman" w:hAnsi="Times New Roman"/>
                <w:sz w:val="20"/>
              </w:rPr>
              <w:t>22 km</w:t>
            </w:r>
          </w:p>
        </w:tc>
        <w:tc>
          <w:tcPr>
            <w:tcW w:type="dxa" w:w="2268"/>
          </w:tcPr>
          <w:p>
            <w:r/>
            <w:r>
              <w:rPr>
                <w:rFonts w:ascii="Times New Roman" w:hAnsi="Times New Roman"/>
                <w:sz w:val="20"/>
              </w:rPr>
              <w:t>Completed 1930</w:t>
            </w:r>
          </w:p>
        </w:tc>
      </w:tr>
      <w:tr>
        <w:tc>
          <w:tcPr>
            <w:tcW w:type="dxa" w:w="2268"/>
          </w:tcPr>
          <w:p>
            <w:r/>
            <w:r>
              <w:rPr>
                <w:rFonts w:ascii="Times New Roman" w:hAnsi="Times New Roman"/>
                <w:sz w:val="20"/>
              </w:rPr>
              <w:t>Iwabuchi Sluice Gate</w:t>
            </w:r>
          </w:p>
        </w:tc>
        <w:tc>
          <w:tcPr>
            <w:tcW w:type="dxa" w:w="2268"/>
          </w:tcPr>
          <w:p>
            <w:r/>
            <w:r>
              <w:rPr>
                <w:rFonts w:ascii="Times New Roman" w:hAnsi="Times New Roman"/>
                <w:sz w:val="20"/>
              </w:rPr>
              <w:t>Sluice gate</w:t>
            </w:r>
          </w:p>
        </w:tc>
        <w:tc>
          <w:tcPr>
            <w:tcW w:type="dxa" w:w="2268"/>
          </w:tcPr>
          <w:p>
            <w:r/>
            <w:r>
              <w:rPr>
                <w:rFonts w:ascii="Times New Roman" w:hAnsi="Times New Roman"/>
                <w:sz w:val="20"/>
              </w:rPr>
              <w:t>—</w:t>
            </w:r>
          </w:p>
        </w:tc>
        <w:tc>
          <w:tcPr>
            <w:tcW w:type="dxa" w:w="2268"/>
          </w:tcPr>
          <w:p>
            <w:r/>
            <w:r>
              <w:rPr>
                <w:rFonts w:ascii="Times New Roman" w:hAnsi="Times New Roman"/>
                <w:sz w:val="20"/>
              </w:rPr>
              <w:t>Arakawa-Sumida bifurcation</w:t>
            </w:r>
          </w:p>
        </w:tc>
      </w:tr>
      <w:tr>
        <w:tc>
          <w:tcPr>
            <w:tcW w:type="dxa" w:w="2268"/>
          </w:tcPr>
          <w:p>
            <w:r/>
            <w:r>
              <w:rPr>
                <w:rFonts w:ascii="Times New Roman" w:hAnsi="Times New Roman"/>
                <w:sz w:val="20"/>
              </w:rPr>
              <w:t>Saiko Retarding Basin</w:t>
            </w:r>
          </w:p>
        </w:tc>
        <w:tc>
          <w:tcPr>
            <w:tcW w:type="dxa" w:w="2268"/>
          </w:tcPr>
          <w:p>
            <w:r/>
            <w:r>
              <w:rPr>
                <w:rFonts w:ascii="Times New Roman" w:hAnsi="Times New Roman"/>
                <w:sz w:val="20"/>
              </w:rPr>
              <w:t>Retarding basin</w:t>
            </w:r>
          </w:p>
        </w:tc>
        <w:tc>
          <w:tcPr>
            <w:tcW w:type="dxa" w:w="2268"/>
          </w:tcPr>
          <w:p>
            <w:r/>
            <w:r>
              <w:rPr>
                <w:rFonts w:ascii="Times New Roman" w:hAnsi="Times New Roman"/>
                <w:sz w:val="20"/>
              </w:rPr>
              <w:t>39 × 10⁶ m³</w:t>
            </w:r>
          </w:p>
        </w:tc>
        <w:tc>
          <w:tcPr>
            <w:tcW w:type="dxa" w:w="2268"/>
          </w:tcPr>
          <w:p>
            <w:r/>
            <w:r>
              <w:rPr>
                <w:rFonts w:ascii="Times New Roman" w:hAnsi="Times New Roman"/>
                <w:sz w:val="20"/>
              </w:rPr>
              <w:t>Area: 5.85 km²</w:t>
            </w:r>
          </w:p>
        </w:tc>
      </w:tr>
      <w:tr>
        <w:tc>
          <w:tcPr>
            <w:tcW w:type="dxa" w:w="2268"/>
          </w:tcPr>
          <w:p>
            <w:r/>
            <w:r>
              <w:rPr>
                <w:rFonts w:ascii="Times New Roman" w:hAnsi="Times New Roman"/>
                <w:sz w:val="20"/>
              </w:rPr>
              <w:t>Upstream dams (3)</w:t>
            </w:r>
          </w:p>
        </w:tc>
        <w:tc>
          <w:tcPr>
            <w:tcW w:type="dxa" w:w="2268"/>
          </w:tcPr>
          <w:p>
            <w:r/>
            <w:r>
              <w:rPr>
                <w:rFonts w:ascii="Times New Roman" w:hAnsi="Times New Roman"/>
                <w:sz w:val="20"/>
              </w:rPr>
              <w:t>Dams</w:t>
            </w:r>
          </w:p>
        </w:tc>
        <w:tc>
          <w:tcPr>
            <w:tcW w:type="dxa" w:w="2268"/>
          </w:tcPr>
          <w:p>
            <w:r/>
            <w:r>
              <w:rPr>
                <w:rFonts w:ascii="Times New Roman" w:hAnsi="Times New Roman"/>
                <w:sz w:val="20"/>
              </w:rPr>
              <w:t>~130 × 10⁶ m³ total</w:t>
            </w:r>
          </w:p>
        </w:tc>
        <w:tc>
          <w:tcPr>
            <w:tcW w:type="dxa" w:w="2268"/>
          </w:tcPr>
          <w:p>
            <w:r/>
            <w:r>
              <w:rPr>
                <w:rFonts w:ascii="Times New Roman" w:hAnsi="Times New Roman"/>
                <w:sz w:val="20"/>
              </w:rPr>
              <w:t>Urayama, Futase, Takizawa</w:t>
            </w:r>
          </w:p>
        </w:tc>
      </w:tr>
      <w:tr>
        <w:tc>
          <w:tcPr>
            <w:tcW w:type="dxa" w:w="2268"/>
          </w:tcPr>
          <w:p>
            <w:r/>
            <w:r>
              <w:rPr>
                <w:rFonts w:ascii="Times New Roman" w:hAnsi="Times New Roman"/>
                <w:sz w:val="20"/>
              </w:rPr>
              <w:t>MAOUDC</w:t>
            </w:r>
          </w:p>
        </w:tc>
        <w:tc>
          <w:tcPr>
            <w:tcW w:type="dxa" w:w="2268"/>
          </w:tcPr>
          <w:p>
            <w:r/>
            <w:r>
              <w:rPr>
                <w:rFonts w:ascii="Times New Roman" w:hAnsi="Times New Roman"/>
                <w:sz w:val="20"/>
              </w:rPr>
              <w:t>Underground channel</w:t>
            </w:r>
          </w:p>
        </w:tc>
        <w:tc>
          <w:tcPr>
            <w:tcW w:type="dxa" w:w="2268"/>
          </w:tcPr>
          <w:p>
            <w:r/>
            <w:r>
              <w:rPr>
                <w:rFonts w:ascii="Times New Roman" w:hAnsi="Times New Roman"/>
                <w:sz w:val="20"/>
              </w:rPr>
              <w:t>200 m³/s</w:t>
            </w:r>
          </w:p>
        </w:tc>
        <w:tc>
          <w:tcPr>
            <w:tcW w:type="dxa" w:w="2268"/>
          </w:tcPr>
          <w:p>
            <w:r/>
            <w:r>
              <w:rPr>
                <w:rFonts w:ascii="Times New Roman" w:hAnsi="Times New Roman"/>
                <w:sz w:val="20"/>
              </w:rPr>
              <w:t>6.3 km, 5-river drainage</w:t>
            </w:r>
          </w:p>
        </w:tc>
      </w:tr>
      <w:tr>
        <w:tc>
          <w:tcPr>
            <w:tcW w:type="dxa" w:w="2268"/>
          </w:tcPr>
          <w:p>
            <w:r/>
            <w:r>
              <w:rPr>
                <w:rFonts w:ascii="Times New Roman" w:hAnsi="Times New Roman"/>
                <w:sz w:val="20"/>
              </w:rPr>
              <w:t>Super-levees</w:t>
            </w:r>
          </w:p>
        </w:tc>
        <w:tc>
          <w:tcPr>
            <w:tcW w:type="dxa" w:w="2268"/>
          </w:tcPr>
          <w:p>
            <w:r/>
            <w:r>
              <w:rPr>
                <w:rFonts w:ascii="Times New Roman" w:hAnsi="Times New Roman"/>
                <w:sz w:val="20"/>
              </w:rPr>
              <w:t>Levee</w:t>
            </w:r>
          </w:p>
        </w:tc>
        <w:tc>
          <w:tcPr>
            <w:tcW w:type="dxa" w:w="2268"/>
          </w:tcPr>
          <w:p>
            <w:r/>
            <w:r>
              <w:rPr>
                <w:rFonts w:ascii="Times New Roman" w:hAnsi="Times New Roman"/>
                <w:sz w:val="20"/>
              </w:rPr>
              <w:t>—</w:t>
            </w:r>
          </w:p>
        </w:tc>
        <w:tc>
          <w:tcPr>
            <w:tcW w:type="dxa" w:w="2268"/>
          </w:tcPr>
          <w:p>
            <w:r/>
            <w:r>
              <w:rPr>
                <w:rFonts w:ascii="Times New Roman" w:hAnsi="Times New Roman"/>
                <w:sz w:val="20"/>
              </w:rPr>
              <w:t>~15% completed</w:t>
            </w:r>
          </w:p>
        </w:tc>
      </w:tr>
    </w:tbl>
    <w:p>
      <w:pPr>
        <w:spacing w:after="160"/>
      </w:pPr>
    </w:p>
    <w:p>
      <w:pPr>
        <w:spacing w:before="360" w:after="120"/>
      </w:pPr>
      <w:r>
        <w:rPr>
          <w:rFonts w:ascii="Times New Roman" w:hAnsi="Times New Roman"/>
          <w:b/>
          <w:sz w:val="24"/>
        </w:rPr>
        <w:t>(2) Kanto Plain aquifer and groundwater management history</w:t>
      </w:r>
    </w:p>
    <w:p>
      <w:pPr>
        <w:ind w:firstLine="480"/>
      </w:pPr>
      <w:r>
        <w:rPr>
          <w:rFonts w:ascii="Times New Roman" w:hAnsi="Times New Roman"/>
          <w:sz w:val="24"/>
        </w:rPr>
        <w:t>Beneath the Kanto Plain lies a thick alluvial deposit. According to the three-dimensional geological-geotechnical model by the Geological Survey of Japan (GSJ),</w:t>
      </w:r>
      <w:r>
        <w:rPr>
          <w:rFonts w:ascii="Times New Roman" w:hAnsi="Times New Roman"/>
          <w:sz w:val="18"/>
          <w:vertAlign w:val="superscript"/>
        </w:rPr>
        <w:t>24)</w:t>
      </w:r>
      <w:r>
        <w:rPr>
          <w:rFonts w:ascii="Times New Roman" w:hAnsi="Times New Roman"/>
          <w:sz w:val="24"/>
        </w:rPr>
        <w:t xml:space="preserve"> the alluvial layer in the Tokyo Lowland reaches a maximum thickness of approximately 80 m, composed of basal gravel, alternating sand-mud layers, and surface mud layers. The sand-gravel layers function as productive aquifers with substantial groundwater storage potential.</w:t>
      </w:r>
    </w:p>
    <w:p>
      <w:pPr>
        <w:ind w:firstLine="480"/>
      </w:pPr>
      <w:r>
        <w:rPr>
          <w:rFonts w:ascii="Times New Roman" w:hAnsi="Times New Roman"/>
          <w:sz w:val="24"/>
        </w:rPr>
        <w:t>Historically, excessive groundwater extraction in the southern Kanto Plain from the mid-Meiji era (1890s) onward caused severe land subsidence.</w:t>
      </w:r>
      <w:r>
        <w:rPr>
          <w:rFonts w:ascii="Times New Roman" w:hAnsi="Times New Roman"/>
          <w:sz w:val="18"/>
          <w:vertAlign w:val="superscript"/>
        </w:rPr>
        <w:t>25)</w:t>
      </w:r>
      <w:r>
        <w:rPr>
          <w:rFonts w:ascii="Times New Roman" w:hAnsi="Times New Roman"/>
          <w:sz w:val="24"/>
        </w:rPr>
        <w:t xml:space="preserve"> Regulations under the Industrial Water Law (1956) and the Building Water Use Law (1962) curtailed extraction, and in recent decades, groundwater levels have recovered significantly.</w:t>
      </w:r>
      <w:r>
        <w:rPr>
          <w:rFonts w:ascii="Times New Roman" w:hAnsi="Times New Roman"/>
          <w:sz w:val="18"/>
          <w:vertAlign w:val="superscript"/>
        </w:rPr>
        <w:t>25)</w:t>
      </w:r>
      <w:r>
        <w:rPr>
          <w:rFonts w:ascii="Times New Roman" w:hAnsi="Times New Roman"/>
          <w:sz w:val="24"/>
        </w:rPr>
        <w:t xml:space="preserve"> From the perspective of the proposed framework, this 'recovered water table' represents a paradoxically favourable condition: the portion of recovered aquifer capacity that can be drawn down without inducing subsidence constitutes a potential subsurface retarding basin.</w:t>
      </w:r>
    </w:p>
    <w:p>
      <w:pPr>
        <w:spacing w:before="360" w:after="120"/>
      </w:pPr>
      <w:r>
        <w:rPr>
          <w:rFonts w:ascii="Times New Roman" w:hAnsi="Times New Roman"/>
          <w:b/>
          <w:sz w:val="24"/>
        </w:rPr>
        <w:t>(3) Application scenario for the Arakawa basin</w:t>
      </w:r>
    </w:p>
    <w:p>
      <w:pPr>
        <w:ind w:firstLine="480"/>
      </w:pPr>
      <w:r>
        <w:rPr>
          <w:rFonts w:ascii="Times New Roman" w:hAnsi="Times New Roman"/>
          <w:sz w:val="24"/>
        </w:rPr>
        <w:t>In the upper Arakawa basin (Okuchichibu Mountains), planned releases from Takizawa Dam (effective head approximately 100 m) can generate hydropower. This energy can be used to pre-emptively lower the water table in the mid-basin alluvial aquifers (Kawagoe-Saitama area). Assuming a managed area of 30 km² with 3 m drawdown and S_y = 0.15, the available storage is 13.5 × 10⁶ m³. Combined with the Saiko Retarding Basin (39 × 10⁶ m³), total flood reception capacity reaches approximately 52.5 × 10⁶ m³.</w:t>
      </w:r>
    </w:p>
    <w:p>
      <w:pPr>
        <w:ind w:firstLine="480"/>
      </w:pPr>
      <w:r>
        <w:rPr>
          <w:rFonts w:ascii="Times New Roman" w:hAnsi="Times New Roman"/>
          <w:sz w:val="24"/>
        </w:rPr>
        <w:t>The mid-basin alluvial lowland contains thick sand-gravel aquifers.</w:t>
      </w:r>
      <w:r>
        <w:rPr>
          <w:rFonts w:ascii="Times New Roman" w:hAnsi="Times New Roman"/>
          <w:sz w:val="18"/>
          <w:vertAlign w:val="superscript"/>
        </w:rPr>
        <w:t>24)</w:t>
      </w:r>
      <w:r>
        <w:rPr>
          <w:rFonts w:ascii="Times New Roman" w:hAnsi="Times New Roman"/>
          <w:sz w:val="24"/>
        </w:rPr>
        <w:t xml:space="preserve"> During Typhoon Hagibis (October 2019), levees breached at seven locations along the Iruma River and other Arakawa tributaries,</w:t>
      </w:r>
      <w:r>
        <w:rPr>
          <w:rFonts w:ascii="Times New Roman" w:hAnsi="Times New Roman"/>
          <w:sz w:val="18"/>
          <w:vertAlign w:val="superscript"/>
        </w:rPr>
        <w:t>21)</w:t>
      </w:r>
      <w:r>
        <w:rPr>
          <w:rFonts w:ascii="Times New Roman" w:hAnsi="Times New Roman"/>
          <w:sz w:val="24"/>
        </w:rPr>
        <w:t xml:space="preserve"> demonstrating the continued vulnerability of the metropolitan area. Given that additional structural measures are constrained by the difficulty of land acquisition in urban areas,</w:t>
      </w:r>
      <w:r>
        <w:rPr>
          <w:rFonts w:ascii="Times New Roman" w:hAnsi="Times New Roman"/>
          <w:sz w:val="18"/>
          <w:vertAlign w:val="superscript"/>
        </w:rPr>
        <w:t>22)</w:t>
      </w:r>
      <w:r>
        <w:rPr>
          <w:rFonts w:ascii="Times New Roman" w:hAnsi="Times New Roman"/>
          <w:sz w:val="24"/>
        </w:rPr>
        <w:t xml:space="preserve"> the proposed groundwater management approach offers a complementary 'underground retarding basin' that requires no surface land.</w:t>
      </w:r>
    </w:p>
    <w:p>
      <w:pPr>
        <w:spacing w:before="360" w:after="120"/>
      </w:pPr>
      <w:r>
        <w:rPr>
          <w:rFonts w:ascii="Times New Roman" w:hAnsi="Times New Roman"/>
          <w:b/>
          <w:sz w:val="28"/>
        </w:rPr>
        <w:t>7. DISCUSSION</w:t>
      </w:r>
    </w:p>
    <w:p>
      <w:pPr>
        <w:spacing w:before="360" w:after="120"/>
      </w:pPr>
      <w:r>
        <w:rPr>
          <w:rFonts w:ascii="Times New Roman" w:hAnsi="Times New Roman"/>
          <w:b/>
          <w:sz w:val="24"/>
        </w:rPr>
        <w:t>(1) Energy self-sufficiency</w:t>
      </w:r>
    </w:p>
    <w:p>
      <w:pPr>
        <w:ind w:firstLine="480"/>
      </w:pPr>
      <w:r>
        <w:rPr>
          <w:rFonts w:ascii="Times New Roman" w:hAnsi="Times New Roman"/>
          <w:sz w:val="24"/>
        </w:rPr>
        <w:t>The most significant finding of this study is that the proposed framework achieves energy self-sufficiency: only approximately 9% of the generated hydropower is consumed for groundwater pumping. This efficiency is far superior to the round-trip efficiency of conventional pumped-storage hydropower (70-80%),</w:t>
      </w:r>
      <w:r>
        <w:rPr>
          <w:rFonts w:ascii="Times New Roman" w:hAnsi="Times New Roman"/>
          <w:sz w:val="18"/>
          <w:vertAlign w:val="superscript"/>
        </w:rPr>
        <w:t>15)</w:t>
      </w:r>
      <w:r>
        <w:rPr>
          <w:rFonts w:ascii="Times New Roman" w:hAnsi="Times New Roman"/>
          <w:sz w:val="24"/>
        </w:rPr>
        <w:t xml:space="preserve"> because the framework exploits the one-directional potential energy of flood discharge rather than the bidirectional cycle of pumped storage. The surplus energy (approximately 38 MW in the representative scenario) can be supplied to the grid, creating an additional economic incentive for flood management.</w:t>
      </w:r>
    </w:p>
    <w:p>
      <w:pPr>
        <w:spacing w:before="360" w:after="120"/>
      </w:pPr>
      <w:r>
        <w:rPr>
          <w:rFonts w:ascii="Times New Roman" w:hAnsi="Times New Roman"/>
          <w:b/>
          <w:sz w:val="24"/>
        </w:rPr>
        <w:t>(2) Complementarity with structural measures</w:t>
      </w:r>
    </w:p>
    <w:p>
      <w:pPr>
        <w:ind w:firstLine="480"/>
      </w:pPr>
      <w:r>
        <w:rPr>
          <w:rFonts w:ascii="Times New Roman" w:hAnsi="Times New Roman"/>
          <w:sz w:val="24"/>
        </w:rPr>
        <w:t>The integrated scenario (Scenario 4) demonstrates that the proposed framework does not replace but rather complements existing structural measures. While the confluence relocation addresses the backwater problem directly, the groundwater management component provides additional volumetric absorption capacity. This complementarity is particularly valuable for extreme events exceeding the design capacity of structural measures.</w:t>
      </w:r>
    </w:p>
    <w:p>
      <w:pPr>
        <w:spacing w:before="360" w:after="120"/>
      </w:pPr>
      <w:r>
        <w:rPr>
          <w:rFonts w:ascii="Times New Roman" w:hAnsi="Times New Roman"/>
          <w:b/>
          <w:sz w:val="24"/>
        </w:rPr>
        <w:t>(3) Limitations and challenges</w:t>
      </w:r>
    </w:p>
    <w:p>
      <w:pPr>
        <w:ind w:firstLine="480"/>
      </w:pPr>
      <w:r>
        <w:rPr>
          <w:rFonts w:ascii="Times New Roman" w:hAnsi="Times New Roman"/>
          <w:sz w:val="24"/>
        </w:rPr>
        <w:t>Several limitations and challenges must be acknowledged. First, this study employs a simplified simulation framework. Detailed validation using coupled groundwater-surface water models such as GSFLOW</w:t>
      </w:r>
      <w:r>
        <w:rPr>
          <w:rFonts w:ascii="Times New Roman" w:hAnsi="Times New Roman"/>
          <w:sz w:val="18"/>
          <w:vertAlign w:val="superscript"/>
        </w:rPr>
        <w:t>19)</w:t>
      </w:r>
      <w:r>
        <w:rPr>
          <w:rFonts w:ascii="Times New Roman" w:hAnsi="Times New Roman"/>
          <w:sz w:val="24"/>
        </w:rPr>
        <w:t xml:space="preserve"> is required. Second, the risk of land subsidence due to groundwater drawdown is a critical concern. Historical experience in the Kanto Plain and Nobi Plain demonstrates that over-extraction can cause irreversible subsidence.</w:t>
      </w:r>
      <w:r>
        <w:rPr>
          <w:rFonts w:ascii="Times New Roman" w:hAnsi="Times New Roman"/>
          <w:sz w:val="18"/>
          <w:vertAlign w:val="superscript"/>
        </w:rPr>
        <w:t>20)</w:t>
      </w:r>
      <w:r>
        <w:rPr>
          <w:rFonts w:ascii="Times New Roman" w:hAnsi="Times New Roman"/>
          <w:sz w:val="24"/>
        </w:rPr>
        <w:t xml:space="preserve"> Strict monitoring and adaptive management protocols are essential. Third, the infiltration rate, which limits the real-time peak reduction effect (Scenario 3), depends heavily on aquifer hydraulic conductivity and the density of engineered recharge facilities. Fourth, the institutional and legal framework for inter-watershed groundwater management does not currently exist in Japan and would require legislative development.</w:t>
      </w:r>
    </w:p>
    <w:p>
      <w:pPr>
        <w:spacing w:before="360" w:after="120"/>
      </w:pPr>
      <w:r>
        <w:rPr>
          <w:rFonts w:ascii="Times New Roman" w:hAnsi="Times New Roman"/>
          <w:b/>
          <w:sz w:val="24"/>
        </w:rPr>
        <w:t>(4) International applicability</w:t>
      </w:r>
    </w:p>
    <w:p>
      <w:pPr>
        <w:ind w:firstLine="480"/>
      </w:pPr>
      <w:r>
        <w:rPr>
          <w:rFonts w:ascii="Times New Roman" w:hAnsi="Times New Roman"/>
          <w:sz w:val="24"/>
        </w:rPr>
        <w:t>The proposed framework has significant implications for transboundary river management. In large transboundary basins such as the Mekong,</w:t>
      </w:r>
      <w:r>
        <w:rPr>
          <w:rFonts w:ascii="Times New Roman" w:hAnsi="Times New Roman"/>
          <w:sz w:val="18"/>
          <w:vertAlign w:val="superscript"/>
        </w:rPr>
        <w:t>26)</w:t>
      </w:r>
      <w:r>
        <w:rPr>
          <w:rFonts w:ascii="Times New Roman" w:hAnsi="Times New Roman"/>
          <w:sz w:val="24"/>
        </w:rPr>
        <w:t xml:space="preserve"> Nile, and Jordan, downstream nations are unilaterally exposed to upstream dam operations. The proposed framework offers downstream nations a unilaterally implementable flood mitigation option that operates entirely within their own territory, as aquifer management requires no cross-border coordination. In arid regions of the Middle East and North Africa, where flash floods (wadi floods) occur sporadically, the framework could combine flood energy capture with aquifer recharge, particularly in oil-rich nations with capital for infrastructure investment. For delta protection (Mekong Delta, Nile Delta, Ganges-Brahmaputra-Meghna Delta), pre-emptive aquifer drawdown could provide dual protection against upstream flooding and sea-level rise.</w:t>
      </w:r>
    </w:p>
    <w:p>
      <w:pPr>
        <w:spacing w:before="360" w:after="120"/>
      </w:pPr>
      <w:r>
        <w:rPr>
          <w:rFonts w:ascii="Times New Roman" w:hAnsi="Times New Roman"/>
          <w:b/>
          <w:sz w:val="28"/>
        </w:rPr>
        <w:t>8. POLICY IMPLICATIONS</w:t>
      </w:r>
    </w:p>
    <w:p>
      <w:pPr>
        <w:ind w:firstLine="480"/>
      </w:pPr>
      <w:r>
        <w:rPr>
          <w:rFonts w:ascii="Times New Roman" w:hAnsi="Times New Roman"/>
          <w:sz w:val="24"/>
        </w:rPr>
        <w:t>Based on the findings of this study, the following policy recommendations are proposed:</w:t>
      </w:r>
    </w:p>
    <w:p>
      <w:pPr>
        <w:ind w:firstLine="0"/>
      </w:pPr>
      <w:r>
        <w:rPr>
          <w:rFonts w:ascii="Times New Roman" w:hAnsi="Times New Roman"/>
          <w:sz w:val="24"/>
        </w:rPr>
        <w:t>1) Pilot project implementation: A pilot-scale implementation in the Mabi district (Oda River-Takahashi River basin) and/or the mid-Arakawa basin is recommended to validate the framework under real-world conditions.</w:t>
      </w:r>
    </w:p>
    <w:p>
      <w:pPr>
        <w:ind w:firstLine="0"/>
      </w:pPr>
      <w:r>
        <w:rPr>
          <w:rFonts w:ascii="Times New Roman" w:hAnsi="Times New Roman"/>
          <w:sz w:val="24"/>
        </w:rPr>
        <w:t>2) Amendment of groundwater extraction regulations: Current regulations, designed solely for subsidence prevention, should be amended to permit controlled, temporary drawdown for flood mitigation purposes, with strict monitoring requirements.</w:t>
      </w:r>
    </w:p>
    <w:p>
      <w:pPr>
        <w:ind w:firstLine="0"/>
      </w:pPr>
      <w:r>
        <w:rPr>
          <w:rFonts w:ascii="Times New Roman" w:hAnsi="Times New Roman"/>
          <w:sz w:val="24"/>
        </w:rPr>
        <w:t>3) Integration with the Basin Flood Control policy: The MLIT's 'Basin Flood Control' (Ryuiki Chisui) policy framework</w:t>
      </w:r>
      <w:r>
        <w:rPr>
          <w:rFonts w:ascii="Times New Roman" w:hAnsi="Times New Roman"/>
          <w:sz w:val="18"/>
          <w:vertAlign w:val="superscript"/>
        </w:rPr>
        <w:t>27)</w:t>
      </w:r>
      <w:r>
        <w:rPr>
          <w:rFonts w:ascii="Times New Roman" w:hAnsi="Times New Roman"/>
          <w:sz w:val="24"/>
        </w:rPr>
        <w:t xml:space="preserve"> should be expanded to explicitly incorporate subsurface flood storage as a recognised non-structural measure.</w:t>
      </w:r>
    </w:p>
    <w:p>
      <w:pPr>
        <w:ind w:firstLine="0"/>
      </w:pPr>
      <w:r>
        <w:rPr>
          <w:rFonts w:ascii="Times New Roman" w:hAnsi="Times New Roman"/>
          <w:sz w:val="24"/>
        </w:rPr>
        <w:t>4) Detailed simulation studies: Coupled groundwater-surface water modelling using GSFLOW</w:t>
      </w:r>
      <w:r>
        <w:rPr>
          <w:rFonts w:ascii="Times New Roman" w:hAnsi="Times New Roman"/>
          <w:sz w:val="18"/>
          <w:vertAlign w:val="superscript"/>
        </w:rPr>
        <w:t>19)</w:t>
      </w:r>
      <w:r>
        <w:rPr>
          <w:rFonts w:ascii="Times New Roman" w:hAnsi="Times New Roman"/>
          <w:sz w:val="24"/>
        </w:rPr>
        <w:t xml:space="preserve"> or equivalent tools should be conducted for candidate basins to provide high-resolution validation of the simplified analysis presented herein.</w:t>
      </w:r>
    </w:p>
    <w:p>
      <w:pPr>
        <w:ind w:firstLine="0"/>
      </w:pPr>
      <w:r>
        <w:rPr>
          <w:rFonts w:ascii="Times New Roman" w:hAnsi="Times New Roman"/>
          <w:sz w:val="24"/>
        </w:rPr>
        <w:t>5) Linkage with the MAOUDC: In the Tokyo metropolitan area, the integration of the MAOUDC's inter-watershed flood transfer capability with the proposed aquifer storage approach could create a comprehensive subsurface flood management system.</w:t>
      </w:r>
    </w:p>
    <w:p>
      <w:pPr>
        <w:spacing w:before="360" w:after="120"/>
      </w:pPr>
      <w:r>
        <w:rPr>
          <w:rFonts w:ascii="Times New Roman" w:hAnsi="Times New Roman"/>
          <w:b/>
          <w:sz w:val="28"/>
        </w:rPr>
        <w:t>9. CONCLUSIONS</w:t>
      </w:r>
    </w:p>
    <w:p>
      <w:pPr>
        <w:ind w:firstLine="480"/>
      </w:pPr>
      <w:r>
        <w:rPr>
          <w:rFonts w:ascii="Times New Roman" w:hAnsi="Times New Roman"/>
          <w:sz w:val="24"/>
        </w:rPr>
        <w:t>This paper proposed a novel flood control framework (PRHG-FCF) integrating planned-release hydropower generation with inter-watershed groundwater management. The principal findings are as follows:</w:t>
      </w:r>
    </w:p>
    <w:p>
      <w:pPr>
        <w:ind w:firstLine="0"/>
      </w:pPr>
      <w:r>
        <w:rPr>
          <w:rFonts w:ascii="Times New Roman" w:hAnsi="Times New Roman"/>
          <w:sz w:val="24"/>
        </w:rPr>
        <w:t>(1) The framework achieves energy self-sufficiency: planned-release hydropower (approximately 42 MW) far exceeds the power required for groundwater pumping (approximately 3.7 MW), with a surplus of approximately 38 MW available for grid supply.</w:t>
      </w:r>
    </w:p>
    <w:p>
      <w:pPr>
        <w:ind w:firstLine="0"/>
      </w:pPr>
      <w:r>
        <w:rPr>
          <w:rFonts w:ascii="Times New Roman" w:hAnsi="Times New Roman"/>
          <w:sz w:val="24"/>
        </w:rPr>
        <w:t>(2) A managed area of 20 km² with 3 m groundwater drawdown creates approximately 12.0 × 10⁶ m³ of aquifer storage capacity, equivalent to approximately 78% of the 2018 flood volume in the Oda River basin.</w:t>
      </w:r>
    </w:p>
    <w:p>
      <w:pPr>
        <w:ind w:firstLine="0"/>
      </w:pPr>
      <w:r>
        <w:rPr>
          <w:rFonts w:ascii="Times New Roman" w:hAnsi="Times New Roman"/>
          <w:sz w:val="24"/>
        </w:rPr>
        <w:t>(3) Integration with the existing confluence relocation (structural measure) yields a 32% reduction in peak discharge, demonstrating that the proposed framework functions as a complementary 'additional safety layer' rather than a replacement for structural measures.</w:t>
      </w:r>
    </w:p>
    <w:p>
      <w:pPr>
        <w:ind w:firstLine="0"/>
      </w:pPr>
      <w:r>
        <w:rPr>
          <w:rFonts w:ascii="Times New Roman" w:hAnsi="Times New Roman"/>
          <w:sz w:val="24"/>
        </w:rPr>
        <w:t>(4) The applicability to the Arakawa basin (8.21 million people in projected inundation zones) was demonstrated, with the combination of upstream dam hydropower and mid-basin alluvial aquifers potentially creating supplementary flood regulation capacity complementing existing dams and retarding basins. Integration with the MAOUDC is also promising for enhancing flood safety in densely populated and industrially concentrated areas.</w:t>
      </w:r>
    </w:p>
    <w:p>
      <w:pPr>
        <w:ind w:firstLine="0"/>
      </w:pPr>
      <w:r>
        <w:rPr>
          <w:rFonts w:ascii="Times New Roman" w:hAnsi="Times New Roman"/>
          <w:sz w:val="24"/>
        </w:rPr>
        <w:t>(5) Japan's steep terrain, existing pumped-storage infrastructure, and dense hydrometeorological observation networks provide globally rare favourable conditions for implementing this framework. Detailed validation through coupled hydrological modelling and pilot-scale implementation are recommended as next steps.</w:t>
      </w:r>
    </w:p>
    <w:p>
      <w:pPr>
        <w:spacing w:before="360" w:after="120"/>
      </w:pPr>
      <w:r>
        <w:rPr>
          <w:rFonts w:ascii="Times New Roman" w:hAnsi="Times New Roman"/>
          <w:b/>
          <w:sz w:val="28"/>
        </w:rPr>
        <w:t>ACKNOWLEDGEMENTS</w:t>
      </w:r>
    </w:p>
    <w:p>
      <w:pPr>
        <w:ind w:firstLine="0"/>
      </w:pPr>
      <w:r>
        <w:rPr>
          <w:rFonts w:ascii="Times New Roman" w:hAnsi="Times New Roman"/>
          <w:sz w:val="24"/>
        </w:rPr>
        <w:t>This study utilised publicly available data from the National Research Institute for Earth Science and Disaster Resilience (NIED), the MLIT Chugoku Regional Development Bureau, the MLIT Kanto Regional Development Bureau, the Geological Survey of Japan (GSJ/AIST), and Okayama Prefecture. The authors gratefully acknowledge these organisations.</w:t>
      </w:r>
    </w:p>
    <w:p>
      <w:pPr>
        <w:spacing w:before="360" w:after="120"/>
      </w:pPr>
      <w:r>
        <w:rPr>
          <w:rFonts w:ascii="Times New Roman" w:hAnsi="Times New Roman"/>
          <w:b/>
          <w:sz w:val="28"/>
        </w:rPr>
        <w:t>REFERENCES</w:t>
      </w:r>
    </w:p>
    <w:p>
      <w:pPr>
        <w:ind w:firstLine="0" w:left="480"/>
      </w:pPr>
      <w:r>
        <w:rPr>
          <w:rFonts w:ascii="Times New Roman" w:hAnsi="Times New Roman"/>
          <w:sz w:val="20"/>
        </w:rPr>
        <w:t>1) National Research Institute for Earth Science and Disaster Resilience (NIED): Overview of damage caused by the July 2018 heavy rainfall (Baiu front and Typhoon No. 7), 2018.</w:t>
      </w:r>
    </w:p>
    <w:p>
      <w:pPr>
        <w:ind w:firstLine="0" w:left="480"/>
      </w:pPr>
      <w:r>
        <w:rPr>
          <w:rFonts w:ascii="Times New Roman" w:hAnsi="Times New Roman"/>
          <w:sz w:val="20"/>
        </w:rPr>
        <w:t>2) MLIT Chugoku Regional Development Bureau: Oda River confluence relocation project overview, https://www.cgr.mlit.go.jp/</w:t>
      </w:r>
    </w:p>
    <w:p>
      <w:pPr>
        <w:ind w:firstLine="0" w:left="480"/>
      </w:pPr>
      <w:r>
        <w:rPr>
          <w:rFonts w:ascii="Times New Roman" w:hAnsi="Times New Roman"/>
          <w:sz w:val="20"/>
        </w:rPr>
        <w:t>3) MLIT: River improvement initiatives, https://www.mlit.go.jp/river/basic_info/</w:t>
      </w:r>
    </w:p>
    <w:p>
      <w:pPr>
        <w:ind w:firstLine="0" w:left="480"/>
      </w:pPr>
      <w:r>
        <w:rPr>
          <w:rFonts w:ascii="Times New Roman" w:hAnsi="Times New Roman"/>
          <w:sz w:val="20"/>
        </w:rPr>
        <w:t>4) KSB News: Oda River flood control project reported to have "reduced water levels" during the 2024 heavy rainfall, 7 February 2025.</w:t>
      </w:r>
    </w:p>
    <w:p>
      <w:pPr>
        <w:ind w:firstLine="0" w:left="480"/>
      </w:pPr>
      <w:r>
        <w:rPr>
          <w:rFonts w:ascii="Times New Roman" w:hAnsi="Times New Roman"/>
          <w:sz w:val="20"/>
        </w:rPr>
        <w:t>5) California Department of Water Resources: Flood-Managed Aquifer Recharge (Flood-MAR), https://water.ca.gov/Programs/All-Programs/Flood-MAR</w:t>
      </w:r>
    </w:p>
    <w:p>
      <w:pPr>
        <w:ind w:firstLine="0" w:left="480"/>
      </w:pPr>
      <w:r>
        <w:rPr>
          <w:rFonts w:ascii="Times New Roman" w:hAnsi="Times New Roman"/>
          <w:sz w:val="20"/>
        </w:rPr>
        <w:t>6) Chang, Y.-L., Tsai, T.-L. and Yang, J.-C.: Flood hazard mitigation in land subsidence prone coastal areas by optimal groundwater pumping, J. Flood Risk Manag., Vol. 12, e12517, 2019. doi: 10.1111/jfr3.12517</w:t>
      </w:r>
    </w:p>
    <w:p>
      <w:pPr>
        <w:ind w:firstLine="0" w:left="480"/>
      </w:pPr>
      <w:r>
        <w:rPr>
          <w:rFonts w:ascii="Times New Roman" w:hAnsi="Times New Roman"/>
          <w:sz w:val="20"/>
        </w:rPr>
        <w:t>7) MLIT Kanto Regional Development Bureau: Metropolitan Area Outer Underground Discharge Channel, https://www.ktr.mlit.go.jp/edogawa/gaikaku/</w:t>
      </w:r>
    </w:p>
    <w:p>
      <w:pPr>
        <w:ind w:firstLine="0" w:left="480"/>
      </w:pPr>
      <w:r>
        <w:rPr>
          <w:rFonts w:ascii="Times New Roman" w:hAnsi="Times New Roman"/>
          <w:sz w:val="20"/>
        </w:rPr>
        <w:t>8) Maeno, S.: Effect of relocating the confluence of the Takahashi and Oda Rivers, J. Hydraul. Eng., JSCE, Vol. 51, pp. 613-618, 2007. doi: 10.2208/prohe.51.613</w:t>
      </w:r>
    </w:p>
    <w:p>
      <w:pPr>
        <w:ind w:firstLine="0" w:left="480"/>
      </w:pPr>
      <w:r>
        <w:rPr>
          <w:rFonts w:ascii="Times New Roman" w:hAnsi="Times New Roman"/>
          <w:sz w:val="20"/>
        </w:rPr>
        <w:t>9) Mississippi Levee Board: Yazoo Backwater Project, https://msleveeboard.com/</w:t>
      </w:r>
    </w:p>
    <w:p>
      <w:pPr>
        <w:ind w:firstLine="0" w:left="480"/>
      </w:pPr>
      <w:r>
        <w:rPr>
          <w:rFonts w:ascii="Times New Roman" w:hAnsi="Times New Roman"/>
          <w:sz w:val="20"/>
        </w:rPr>
        <w:t>10) Mississippi State University Extension: Final Report: Survey of Overlooked Costs of the 2019 Backwater Flood in the Yazoo Mississippi Delta.</w:t>
      </w:r>
    </w:p>
    <w:p>
      <w:pPr>
        <w:ind w:firstLine="0" w:left="480"/>
      </w:pPr>
      <w:r>
        <w:rPr>
          <w:rFonts w:ascii="Times New Roman" w:hAnsi="Times New Roman"/>
          <w:sz w:val="20"/>
        </w:rPr>
        <w:t>11) Berkowitz, J. F., Johnson, D. R. and Price, J. J.: Forested wetland hydrology in a large Mississippi River tributary system, Wetlands, Vol. 40, pp. 1133-1148, 2020. doi: 10.1007/s13157-019-01249-5</w:t>
      </w:r>
    </w:p>
    <w:p>
      <w:pPr>
        <w:ind w:firstLine="0" w:left="480"/>
      </w:pPr>
      <w:r>
        <w:rPr>
          <w:rFonts w:ascii="Times New Roman" w:hAnsi="Times New Roman"/>
          <w:sz w:val="20"/>
        </w:rPr>
        <w:t>12) Li, A. and Tsai, F. T.-C.: Understanding dynamics of groundwater flows in the Mississippi River Delta, J. Hydrol., Vol. 583, 124616, 2020. doi: 10.1016/j.jhydrol.2020.124616</w:t>
      </w:r>
    </w:p>
    <w:p>
      <w:pPr>
        <w:ind w:firstLine="0" w:left="480"/>
      </w:pPr>
      <w:r>
        <w:rPr>
          <w:rFonts w:ascii="Times New Roman" w:hAnsi="Times New Roman"/>
          <w:sz w:val="20"/>
        </w:rPr>
        <w:t>13) Dillon, P., Stuyfzand, P., Grischek, T., Lluria, M., Pyne, R. D. G., Jain, R. C., Bear, J., Schwarz, J., Wang, W., Fernandez, E., Stefan, C., Pettenati, M., van der Gun, J., Sprenger, C., Massmann, G., Scanlon, B. R., Xanke, J., Jokela, P., Zheng, Y., Rossetto, R., Shamrukh, M., Pavelic, P., Murray, E., Ross, A., Bonilla Valverde, J. P., Palma Nava, A., Ansems, N., Posavec, K., Ha, K., Martin, R. and Sapiano, M.: Managed aquifer recharge: rediscovering nature as a leading edge technology, Water Sci. Technol., Vol. 62, No. 10, pp. 2338-2345, 2010. doi: 10.2166/wst.2010.444</w:t>
      </w:r>
    </w:p>
    <w:p>
      <w:pPr>
        <w:ind w:firstLine="0" w:left="480"/>
      </w:pPr>
      <w:r>
        <w:rPr>
          <w:rFonts w:ascii="Times New Roman" w:hAnsi="Times New Roman"/>
          <w:sz w:val="20"/>
        </w:rPr>
        <w:t>14) Nishizawa Katazakai, S. and Zhang, J.: Long-term flood control in central Japan: A half-century groundwater monitoring and evaluating adaptation measures for sustainable use, Groundwater Sustain. Dev., Vol. 33, 101585, 2026. doi: 10.1016/j.gsd.2026.101585</w:t>
      </w:r>
    </w:p>
    <w:p>
      <w:pPr>
        <w:ind w:firstLine="0" w:left="480"/>
      </w:pPr>
      <w:r>
        <w:rPr>
          <w:rFonts w:ascii="Times New Roman" w:hAnsi="Times New Roman"/>
          <w:sz w:val="20"/>
        </w:rPr>
        <w:t>15) IEA Hydropower Implementing Agreement: Case Study 11-02: Large Scale Pumped Storage Power Plants, Japan, 2006.</w:t>
      </w:r>
    </w:p>
    <w:p>
      <w:pPr>
        <w:ind w:firstLine="0" w:left="480"/>
      </w:pPr>
      <w:r>
        <w:rPr>
          <w:rFonts w:ascii="Times New Roman" w:hAnsi="Times New Roman"/>
          <w:sz w:val="20"/>
        </w:rPr>
        <w:t>16) EU CORDIS: Recovery of Energy from Released Water and Reserve Flow from a Flood Protection Reservoir, Project ID: HY.-00410-87.</w:t>
      </w:r>
    </w:p>
    <w:p>
      <w:pPr>
        <w:ind w:firstLine="0" w:left="480"/>
      </w:pPr>
      <w:r>
        <w:rPr>
          <w:rFonts w:ascii="Times New Roman" w:hAnsi="Times New Roman"/>
          <w:sz w:val="20"/>
        </w:rPr>
        <w:t>17) Chang, J., Jing, Z., Wang, X. and Meng, X.: The flood resource utilization of cascade hydropower stations based on the multi-scenario water level drawdown method, EGU General Assembly 2025, EGU25-14374. doi: 10.5194/egusphere-egu25-14374</w:t>
      </w:r>
    </w:p>
    <w:p>
      <w:pPr>
        <w:ind w:firstLine="0" w:left="480"/>
      </w:pPr>
      <w:r>
        <w:rPr>
          <w:rFonts w:ascii="Times New Roman" w:hAnsi="Times New Roman"/>
          <w:sz w:val="20"/>
        </w:rPr>
        <w:t>18) Kinoshita, S. and Tokunaga, Y.: Water resources management in Japan, IWRA Proceedings, 2003.</w:t>
      </w:r>
    </w:p>
    <w:p>
      <w:pPr>
        <w:ind w:firstLine="0" w:left="480"/>
      </w:pPr>
      <w:r>
        <w:rPr>
          <w:rFonts w:ascii="Times New Roman" w:hAnsi="Times New Roman"/>
          <w:sz w:val="20"/>
        </w:rPr>
        <w:t>19) USGS: GSFLOW: Coupled Groundwater and Surface-Water Flow Model, https://water.usgs.gov/ogw/gsflow/</w:t>
      </w:r>
    </w:p>
    <w:p>
      <w:pPr>
        <w:ind w:firstLine="0" w:left="480"/>
      </w:pPr>
      <w:r>
        <w:rPr>
          <w:rFonts w:ascii="Times New Roman" w:hAnsi="Times New Roman"/>
          <w:sz w:val="20"/>
        </w:rPr>
        <w:t>20) Cabinet Council on Land Subsidence Countermeasures: Basic Policy on Land Subsidence Countermeasures, 1991.</w:t>
      </w:r>
    </w:p>
    <w:p>
      <w:pPr>
        <w:ind w:firstLine="0" w:left="480"/>
      </w:pPr>
      <w:r>
        <w:rPr>
          <w:rFonts w:ascii="Times New Roman" w:hAnsi="Times New Roman"/>
          <w:sz w:val="20"/>
        </w:rPr>
        <w:t>21) MLIT Water Management and Land Conservation Bureau: Outline of revision of the Arakawa River System Basic Policy for River Improvement, November 2024, pp. 1-52.</w:t>
      </w:r>
    </w:p>
    <w:p>
      <w:pPr>
        <w:ind w:firstLine="0" w:left="480"/>
      </w:pPr>
      <w:r>
        <w:rPr>
          <w:rFonts w:ascii="Times New Roman" w:hAnsi="Times New Roman"/>
          <w:sz w:val="20"/>
        </w:rPr>
        <w:t>22) MLIT Kanto Regional Development Bureau, Arakawa Downstream River Office: Flood control measures for the Arakawa River, https://www.ktr.mlit.go.jp/arage/</w:t>
      </w:r>
    </w:p>
    <w:p>
      <w:pPr>
        <w:ind w:firstLine="0" w:left="480"/>
      </w:pPr>
      <w:r>
        <w:rPr>
          <w:rFonts w:ascii="Times New Roman" w:hAnsi="Times New Roman"/>
          <w:sz w:val="20"/>
        </w:rPr>
        <w:t>23) MLIT Kanto Regional Development Bureau, Arakawa Upstream River Office: Functions of Saiko Retarding Basin, https://www.ktr.mlit.go.jp/arajo/arajo00161.html</w:t>
      </w:r>
    </w:p>
    <w:p>
      <w:pPr>
        <w:ind w:firstLine="0" w:left="480"/>
      </w:pPr>
      <w:r>
        <w:rPr>
          <w:rFonts w:ascii="Times New Roman" w:hAnsi="Times New Roman"/>
          <w:sz w:val="20"/>
        </w:rPr>
        <w:t>24) Komatsubara, J.: Alluvial deposits of the Tokyo Lowland, GSJ Chishitsu News, Vol. 10, No. 7, pp. 148-152, 2021.</w:t>
      </w:r>
    </w:p>
    <w:p>
      <w:pPr>
        <w:ind w:firstLine="0" w:left="480"/>
      </w:pPr>
      <w:r>
        <w:rPr>
          <w:rFonts w:ascii="Times New Roman" w:hAnsi="Times New Roman"/>
          <w:sz w:val="20"/>
        </w:rPr>
        <w:t>25) MLIT Water Resources Department: Current status of groundwater conservation and land subsidence, https://www.mlit.go.jp/mizukokudo/mizsei/</w:t>
      </w:r>
    </w:p>
    <w:p>
      <w:pPr>
        <w:ind w:firstLine="0" w:left="480"/>
      </w:pPr>
      <w:r>
        <w:rPr>
          <w:rFonts w:ascii="Times New Roman" w:hAnsi="Times New Roman"/>
          <w:sz w:val="20"/>
        </w:rPr>
        <w:t>26) Mekong River Commission: State of the Basin Report 2018, Vientiane, 2019.</w:t>
      </w:r>
    </w:p>
    <w:p>
      <w:pPr>
        <w:ind w:firstLine="0" w:left="480"/>
      </w:pPr>
      <w:r>
        <w:rPr>
          <w:rFonts w:ascii="Times New Roman" w:hAnsi="Times New Roman"/>
          <w:sz w:val="20"/>
        </w:rPr>
        <w:t>27) MLIT: Basin Flood Control Project, https://www.mlit.go.jp/river/kasen/ryuiki_pro/</w:t>
      </w:r>
    </w:p>
    <w:p>
      <w:pPr>
        <w:spacing w:before="360" w:after="120"/>
      </w:pPr>
      <w:r>
        <w:rPr>
          <w:rFonts w:ascii="Times New Roman" w:hAnsi="Times New Roman"/>
          <w:b/>
          <w:sz w:val="28"/>
        </w:rPr>
        <w:t>FIGURE LEGENDS</w:t>
      </w:r>
    </w:p>
    <w:p>
      <w:pPr>
        <w:spacing w:before="120" w:after="120"/>
      </w:pPr>
      <w:r>
        <w:rPr>
          <w:rFonts w:ascii="Times New Roman" w:hAnsi="Times New Roman"/>
          <w:sz w:val="22"/>
        </w:rPr>
        <w:t>Fig. 1 Energy balance contour map of the planned-release hydropower-groundwater management framework. The contour plot shows the generated power (MW) as a function of effective head (m) and discharge rate (m³/s). The dashed line indicates the power required for groundwater pumping (H_p = 30 m, Q_p = 10 m³/s). The wide region above the dashed line represents the energy surplus zone where the framework is self-sustaining.</w:t>
      </w:r>
    </w:p>
    <w:p>
      <w:pPr>
        <w:spacing w:before="120" w:after="120"/>
      </w:pPr>
      <w:r>
        <w:rPr>
          <w:rFonts w:ascii="Times New Roman" w:hAnsi="Times New Roman"/>
          <w:sz w:val="22"/>
        </w:rPr>
        <w:t>Fig. 2 Aquifer storage capacity as a function of managed area and water table drawdown. Contours show storage volume (×10⁶ m³) for specific yield S_y = 0.2. The dashed horizontal line indicates the 2018 flood volume (15.3 × 10⁶ m³) for comparison. The shaded area indicates the range of parameters achievable in the Oda River adjacent plain.</w:t>
      </w:r>
    </w:p>
    <w:p>
      <w:pPr>
        <w:spacing w:before="120" w:after="120"/>
      </w:pPr>
      <w:r>
        <w:rPr>
          <w:rFonts w:ascii="Times New Roman" w:hAnsi="Times New Roman"/>
          <w:sz w:val="22"/>
        </w:rPr>
        <w:t>Fig. 3 Flood hydrograph comparison for four scenarios over a 72-hour simulation period (upper panel: rainfall intensity; lower panel: discharge). Scenario 1: no measures (2018 baseline); Scenario 2: confluence relocation; Scenario 3: groundwater management; Scenario 4: integrated (Scenarios 2 + 3).</w:t>
      </w:r>
    </w:p>
    <w:p>
      <w:pPr>
        <w:spacing w:before="120" w:after="120"/>
      </w:pPr>
      <w:r>
        <w:rPr>
          <w:rFonts w:ascii="Times New Roman" w:hAnsi="Times New Roman"/>
          <w:sz w:val="22"/>
        </w:rPr>
        <w:t>Fig. 4 Comparison of peak discharge (left) and total runoff volume (right) across the four scenarios. Error bars indicate sensitivity to key parameters (specific yield: 0.15-0.25; pumping rate: 5-15 m³/s).</w:t>
      </w:r>
    </w:p>
    <w:sectPr w:rsidR="00FC693F" w:rsidRPr="0006063C" w:rsidSect="00034616">
      <w:footerReference w:type="default" r:id="rId9"/>
      <w:pgSz w:w="11906" w:h="16838"/>
      <w:pgMar w:top="1417" w:right="1417" w:bottom="1417" w:left="1417"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exact"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