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allocation in Japan, 2008–2024: a sensitivity-analysis framework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healthcare workforce allocation problem in Japan, where policy discussions often assume that malpractice-litigation risk pushes physicians away from high-risk specialties. We used this question as a test case for a transparent, reproducible sensitivity-analysis framework that evaluates a proposed policy lever while avoiding size confounding and interpolation of sparse panels. Using national primary data for 12 specialties (2008–2024), we measured exposure as closed malpractice claims per 1,000 physicians (rate, not count) and regressed biennial log-change in physicians and hospitals on the lagged litigation rate in a panel with specialty and wave fixed effects, cluster-robust standard errors, small-cluster t(G-1) inference, and two one-sided equivalence (TOST) tests.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less than ±2% was p=&lt;0.001); hospital growth was within ±2% (p=0.002) but not the stricter ±1% margin (p=0.059). Sensitivity analyses were unchanged and per-specialty rank correlations were mostly positive (10/12) and none significant. Specialty-level litigation risk is not associated with workforce decline and is statistically equivalent to a null effect for physicians. The framework is exportable to other policy levers in healthcare workforce allocation.</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 analytics; Japan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vertAlign w:val="superscript"/>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therefore treat the litigation-workforce question as a test case for a transparent, reproducible sensitivity-analysis framework for healthcare workforce allocation decisions.</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vertAlign w:val="superscript"/>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vertAlign w:val="superscript"/>
        </w:rPr>
        <w:t>[7]</w:t>
      </w:r>
      <w:r>
        <w:rPr>
          <w:rFonts w:ascii="Times New Roman" w:hAnsi="Times New Roman"/>
          <w:b w:val="0"/>
          <w:i w:val="0"/>
          <w:sz w:val="24"/>
        </w:rPr>
        <w:t xml:space="preserve"> We studied 12 core clinical specialties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vertAlign w:val="superscript"/>
        </w:rPr>
        <w:t>[11]</w:t>
      </w:r>
      <w:r>
        <w:rPr>
          <w:rFonts w:ascii="Times New Roman" w:hAnsi="Times New Roman"/>
          <w:b w:val="0"/>
          <w:i w:val="0"/>
          <w:sz w:val="24"/>
        </w:rPr>
        <w:t xml:space="preserve"> and total national newspaper article counts from Nikkei Telecom 21 (2004-2018; the sensitivity analysis uses 2009-2018; keywords: 医療事故 + 医療過誤).</w:t>
      </w:r>
      <w:r>
        <w:rPr>
          <w:rFonts w:ascii="Times New Roman" w:hAnsi="Times New Roman"/>
          <w:vertAlign w:val="superscript"/>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principal-specialty (主たる診療科)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[13]</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[14]</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[4-5]</w:t>
      </w:r>
      <w:r>
        <w:rPr>
          <w:rFonts w:ascii="Times New Roman" w:hAnsi="Times New Roman"/>
          <w:b w:val="0"/>
          <w:i w:val="0"/>
          <w:sz w:val="24"/>
        </w:rPr>
        <w:t xml:space="preserve"> For a pre-specified margin m, the two one-sided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alpha. We used margins of 1% and 2% biennial workforce change because they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[15]</w:t>
      </w:r>
      <w:r>
        <w:rPr>
          <w:rFonts w:ascii="Times New Roman" w:hAnsi="Times New Roman"/>
          <w:b w:val="0"/>
          <w:i w:val="0"/>
          <w:sz w:val="24"/>
        </w:rPr>
        <w:t xml:space="preserve"> An indicator for obstetrics and gynaecology from 2009 onward captured the JOCS-CP period.</w:t>
      </w:r>
      <w:r>
        <w:rPr>
          <w:rFonts w:ascii="Times New Roman" w:hAnsi="Times New Roman"/>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w:t>
      </w:r>
      <w:r>
        <w:rPr>
          <w:rFonts w:ascii="Times New Roman" w:hAnsi="Times New Roman"/>
          <w:vertAlign w:val="superscript"/>
        </w:rPr>
        <w:t>[13]</w:t>
      </w:r>
      <w:r>
        <w:rPr>
          <w:rFonts w:ascii="Times New Roman" w:hAnsi="Times New Roman"/>
          <w:b w:val="0"/>
          <w:i w:val="0"/>
          <w:sz w:val="24"/>
        </w:rPr>
        <w:t xml:space="preserve">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[12]</w:t>
      </w:r>
      <w:r>
        <w:rPr>
          <w:rFonts w:ascii="Times New Roman" w:hAnsi="Times New Roman"/>
          <w:b w:val="0"/>
          <w:i w:val="0"/>
          <w:sz w:val="24"/>
        </w:rPr>
        <w:t xml:space="preserve"> Total annual article counts (keywords: 医療事故 + 医療過誤)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and pre-specified equivalence margins allow us to say that, if litigation risk does influence specialty-level workforce growth, the magnitude is too small to matter for workforce planning. Across the sensitivity analyses, alternative exposure definitions, interpolation, and potential confounders did not change this conclusion, which is the main value of the framework for healthcare workforce allocation decisions.</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vertAlign w:val="superscript"/>
        </w:rPr>
        <w:t>[16]</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[17]</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localized and modest.</w:t>
      </w:r>
      <w:r>
        <w:rPr>
          <w:rFonts w:ascii="Times New Roman" w:hAnsi="Times New Roman"/>
          <w:vertAlign w:val="superscript"/>
        </w:rPr>
        <w:t>[18]</w:t>
      </w:r>
      <w:r>
        <w:rPr>
          <w:rFonts w:ascii="Times New Roman" w:hAnsi="Times New Roman"/>
          <w:b w:val="0"/>
          <w:i w:val="0"/>
          <w:sz w:val="24"/>
        </w:rPr>
        <w:t xml:space="preserve"> Against this backdrop, a null effect of civil litigation risk on Japanese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is unrelated to the number of physicians, it may shape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[19]</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[20]</w:t>
      </w:r>
      <w:r>
        <w:rPr>
          <w:rFonts w:ascii="Times New Roman" w:hAnsi="Times New Roman"/>
          <w:b w:val="0"/>
          <w:i w:val="0"/>
          <w:sz w:val="24"/>
        </w:rPr>
        <w:t xml:space="preserve"> In Japan, fee-for-service reimbursement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Japan's litigation environment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[21]</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[22]</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w:t>
      </w:r>
      <w:r>
        <w:rPr>
          <w:rFonts w:ascii="Times New Roman" w:hAnsi="Times New Roman"/>
          <w:vertAlign w:val="superscript"/>
        </w:rPr>
        <w:t>[23]</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comparison of Japanese and U.S. medical-legal claims in obstetrics and gynaecology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[24]</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[25]</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Japan. Structural incentives are more promising: no-fault compensation can de-risk high-acuity specialties, and payment design can reward service in underserved settings and activities. The JOCS-CP experience supports the former; Japan's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[26]</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[27]</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vertAlign w:val="superscript"/>
        </w:rPr>
        <w:t>[28]</w:t>
      </w:r>
      <w:r>
        <w:rPr>
          <w:rFonts w:ascii="Times New Roman" w:hAnsi="Times New Roman"/>
          <w:b w:val="0"/>
          <w:i w:val="0"/>
          <w:sz w:val="24"/>
        </w:rPr>
        <w:t xml:space="preserve"> Applying similar logic in Japan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in these data, is no—or at least not in a way that is detectable or policy-relevant across 9 measured waves (2008–2024).</w:t>
      </w:r>
    </w:p>
    <w:p>
      <w:pPr>
        <w:spacing w:line="480" w:lineRule="auto" w:after="120"/>
      </w:pPr>
      <w:r>
        <w:rPr>
          <w:rFonts w:ascii="Times New Roman" w:hAnsi="Times New Roman"/>
          <w:b w:val="0"/>
          <w:i w:val="0"/>
          <w:sz w:val="24"/>
        </w:rPr>
        <w:t>The framework we used is intentionally general. Specialty physician workforce allocation is a recurring healthcare decision problem, and the same sensitivity-analysis steps—rate adjustment to remove size confounding, measured-only panels to avoid interpolation, equivalence testing with policy-relevant margins, and small-cluster inference—can be applied to other proposed levers, such as fee schedules, regional quotas, or training subsidies. The analytic contribution is therefore not the malpractice finding itself but a transparent, reproducible workflow that helps decision-makers distinguish meaningful workforce effects from spurious count- or interpolation-based associations.</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9 measured waves; we addressed the limited power directly through equivalence testing and by pooling across specialties, but residual power constraints remain and the equivalence margins are a judgement.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in these data, and the physician effect was statistically equivalent to null within a small margin. Policies to counter specialty maldistribution may more productively target structural incentives, especially no-fault compensation, rather than on the assumption that reducing litigation will retain physicians in high-risk specialties.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w:t>
      </w:r>
    </w:p>
    <w:p>
      <w:pPr>
        <w:spacing w:line="360" w:lineRule="auto"/>
      </w:pPr>
      <w:r>
        <w:rPr>
          <w:rFonts w:ascii="Times New Roman" w:hAnsi="Times New Roman"/>
          <w:sz w:val="20"/>
        </w:rPr>
        <w:t>10. Ministry of Health, Labour and Welfare. Survey of Medical Institutions (Dynamic). Tokyo: MHLW; 2024. Available from: https://www.mhlw.go.jp/english/database/db-hw/</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Act on the Promotion of Medical Safety; Medical Accident Investigation System (2015). Tokyo: MHLW; 2015.</w:t>
      </w:r>
    </w:p>
    <w:p>
      <w:pPr>
        <w:spacing w:line="360" w:lineRule="auto"/>
      </w:pPr>
      <w:r>
        <w:rPr>
          <w:rFonts w:ascii="Times New Roman" w:hAnsi="Times New Roman"/>
          <w:sz w:val="20"/>
        </w:rPr>
        <w:t>14. Angrist JD, Pischke JS. Mostly Harmless Econometrics. Princeton: Princeton University Press; 2009.</w:t>
      </w:r>
    </w:p>
    <w:p>
      <w:pPr>
        <w:spacing w:line="360" w:lineRule="auto"/>
      </w:pPr>
      <w:r>
        <w:rPr>
          <w:rFonts w:ascii="Times New Roman" w:hAnsi="Times New Roman"/>
          <w:sz w:val="20"/>
        </w:rPr>
        <w:t>15. Cameron AC, Miller DL. A practitioner's guide to cluster-robust inference. J Hum Resour. 2015;50(2):317-372.</w:t>
      </w:r>
    </w:p>
    <w:p>
      <w:pPr>
        <w:spacing w:line="360" w:lineRule="auto"/>
      </w:pPr>
      <w:r>
        <w:rPr>
          <w:rFonts w:ascii="Times New Roman" w:hAnsi="Times New Roman"/>
          <w:sz w:val="20"/>
        </w:rPr>
        <w:t>16. Matsa DA. Does malpractice liability keep the doctor away? Evidence from tort reform damage caps. J Legal Stud. 2007;36(S2):S143-S182.</w:t>
      </w:r>
    </w:p>
    <w:p>
      <w:pPr>
        <w:spacing w:line="360" w:lineRule="auto"/>
      </w:pPr>
      <w:r>
        <w:rPr>
          <w:rFonts w:ascii="Times New Roman" w:hAnsi="Times New Roman"/>
          <w:sz w:val="20"/>
        </w:rPr>
        <w:t>17. Hyman DA, Silver C, Black B, Paik M. Does tort reform affect physician supply? Evidence from Texas. Int Rev Law Econ. 2015;42:203-218.</w:t>
      </w:r>
    </w:p>
    <w:p>
      <w:pPr>
        <w:spacing w:line="360" w:lineRule="auto"/>
      </w:pPr>
      <w:r>
        <w:rPr>
          <w:rFonts w:ascii="Times New Roman" w:hAnsi="Times New Roman"/>
          <w:sz w:val="20"/>
        </w:rPr>
        <w:t>18. Frakes MD, Frank MB, Seabury SA. The effect of malpractice law on physician supply: Evidence from negligence-standard reforms. J Health Econ. 2020;70:1-16.</w:t>
      </w:r>
    </w:p>
    <w:p>
      <w:pPr>
        <w:spacing w:line="360" w:lineRule="auto"/>
      </w:pPr>
      <w:r>
        <w:rPr>
          <w:rFonts w:ascii="Times New Roman" w:hAnsi="Times New Roman"/>
          <w:sz w:val="20"/>
        </w:rPr>
        <w:t>19. Kessler DP, McClellan MB. Do doctors practice defensive medicine?. Q J Econ. 1996;111(2):353-390.</w:t>
      </w:r>
    </w:p>
    <w:p>
      <w:pPr>
        <w:spacing w:line="360" w:lineRule="auto"/>
      </w:pPr>
      <w:r>
        <w:rPr>
          <w:rFonts w:ascii="Times New Roman" w:hAnsi="Times New Roman"/>
          <w:sz w:val="20"/>
        </w:rPr>
        <w:t>20. Sloan FA, Shadle JH. Is there empirical evidence for "Defensive Medicine"? A reassessment. J Health Econ. 2008;27(2):481-491.</w:t>
      </w:r>
    </w:p>
    <w:p>
      <w:pPr>
        <w:spacing w:line="360" w:lineRule="auto"/>
      </w:pPr>
      <w:r>
        <w:rPr>
          <w:rFonts w:ascii="Times New Roman" w:hAnsi="Times New Roman"/>
          <w:sz w:val="20"/>
        </w:rPr>
        <w:t>21. Taniguchi K, Watari T, Nagoshi K. Characteristics and trends of medical malpractice claims in Japan between 2006 and 2021. PLoS One. 2023;18(12):e0296155.</w:t>
      </w:r>
    </w:p>
    <w:p>
      <w:pPr>
        <w:spacing w:line="360" w:lineRule="auto"/>
      </w:pPr>
      <w:r>
        <w:rPr>
          <w:rFonts w:ascii="Times New Roman" w:hAnsi="Times New Roman"/>
          <w:sz w:val="20"/>
        </w:rPr>
        <w:t>22.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23. Morita H. Criminal prosecution and physician supply. Int Rev Law Econ. 2018;55:1-11.</w:t>
      </w:r>
    </w:p>
    <w:p>
      <w:pPr>
        <w:spacing w:line="360" w:lineRule="auto"/>
      </w:pPr>
      <w:r>
        <w:rPr>
          <w:rFonts w:ascii="Times New Roman" w:hAnsi="Times New Roman"/>
          <w:sz w:val="20"/>
        </w:rPr>
        <w:t>24.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25.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26.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27.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28.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