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pPr>
      <w:r>
        <w:t>[Date / your address block — TO BE CONFIRMED]</w:t>
      </w:r>
    </w:p>
    <w:p>
      <w:pPr>
        <w:spacing w:before="240"/>
      </w:pPr>
      <w:r>
        <w:t>Prof. Xiao-Nong Zhou, Editor-in-Chief</w:t>
      </w:r>
    </w:p>
    <w:p>
      <w:pPr>
        <w:spacing w:before="40"/>
      </w:pPr>
      <w:r>
        <w:t>Infectious Diseases of Poverty</w:t>
      </w:r>
    </w:p>
    <w:p>
      <w:pPr>
        <w:spacing w:before="240"/>
      </w:pPr>
      <w:r>
        <w:t>Dear Professor Zhou and Editors,</w:t>
      </w:r>
    </w:p>
    <w:p>
      <w:pPr>
        <w:spacing w:before="160"/>
      </w:pPr>
      <w:r>
        <w:t>Please consider our Brief Report, “Divergent hazard shapes of tuberculosis treatment loss to follow-up: a reproducible analysis of published curves quantifying the heterogeneity that hinders a unified retention intervention”, for publication in Infectious Diseases of Poverty.</w:t>
      </w:r>
    </w:p>
    <w:p>
      <w:pPr>
        <w:spacing w:before="160"/>
      </w:pPr>
      <w:r>
        <w:t>Loss to follow-up (LTFU) during tuberculosis (TB) treatment is a central obstacle to cure and transmission control in resource-limited, high-burden settings. It is already recognized that the determinants of treatment interruption are context-dependent and that adherence interventions transfer poorly between programmes, but this has remained a qualitative observation. We give it a quantitative handle by asking whether the timing of LTFU — its hazard shape — is consistent across settings. Fitting Weibull cumulative-incidence models to real, published time-to-event curves, we find that two TB cohorts fall on opposite sides of a constant hazard (one increasing, one decreasing), whereas two unrelated chronic-treatment comparators are mutually consistent. This offers a compact, reproducible explanation for why pooled TB evidence and a single unified retention strategy are hard to build, and it argues for routinely reporting the time-to-LTFU curve so programmes can time adherence support to their own hazard shape.</w:t>
      </w:r>
    </w:p>
    <w:p>
      <w:pPr>
        <w:spacing w:before="160"/>
      </w:pPr>
      <w:r>
        <w:t>We believe this fits the scope of Infectious Diseases of Poverty: it addresses treatment and case management of a major infectious disease of poverty, has direct implications for TB programme implementation and health systems, and is fully reproducible — all source figures, digitized data and analysis code that regenerate every reported number are openly available. The work is original, is not under consideration elsewhere, and all authors approve the submission. We declare no competing interests.</w:t>
      </w:r>
    </w:p>
    <w:p>
      <w:pPr>
        <w:spacing w:before="160"/>
      </w:pPr>
      <w:r>
        <w:t>Thank you for your consideration.</w:t>
      </w:r>
    </w:p>
    <w:p>
      <w:pPr>
        <w:spacing w:before="240"/>
      </w:pPr>
      <w:r>
        <w:t>Sincerely,</w:t>
      </w:r>
    </w:p>
    <w:p>
      <w:pPr>
        <w:spacing w:before="40"/>
      </w:pPr>
      <w:r>
        <w:t>Tatsuki Onishi, on behalf of 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