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10985</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in the fitted model. The 2017-2023 out-of-sample projection records RMSE 3.35 and a conservative, non-standard MAPE of 42.5%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Civilizations via I0 (factor 0.246×).</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ten AI/ML works in the 2000-2023 window. An author is treated as active if they have at least one AI/ML work in 2020-2023, and as having dropped out otherwise. An author is classified as a principal investigator (PI) if their first last-author paper has at least six authors, a standard bibliometric proxy for seniority in empirical science</w:t>
      </w:r>
      <w:r>
        <w:rPr>
          <w:vertAlign w:val="superscript"/>
        </w:rPr>
        <w:t xml:space="preserve"> [3]</w:t>
      </w:r>
      <w:r>
        <w:t>. A 'hit' work is a non-last-author paper whose citation count places it in the top 10% of AI/ML works in the same publication year, observed within the first eight career years.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ten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non-last-author paper in the top 10% of AI/ML citations for its publication year, observed within the first eight career years. A PI is an author whose first last-author paper has at least six authors. The abroad flag is set if the author appears in a non-origin civilisation within the first six career years.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Japanese (return_plus_retention: +27 active researchers); Other Civilizations (return_plus_retention: +50 active researchers); Other Western (return_plus_retention: +59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0.042</w:t>
            </w:r>
          </w:p>
        </w:tc>
        <w:tc>
          <w:tcPr>
            <w:tcW w:type="dxa" w:w="1234"/>
          </w:tcPr>
          <w:p>
            <w:r>
              <w:t>1.59</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0.027</w:t>
            </w:r>
          </w:p>
        </w:tc>
        <w:tc>
          <w:tcPr>
            <w:tcW w:type="dxa" w:w="1234"/>
          </w:tcPr>
          <w:p>
            <w:r>
              <w:t>2.88</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1.53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1.25</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0.049</w:t>
            </w:r>
          </w:p>
        </w:tc>
        <w:tc>
          <w:tcPr>
            <w:tcW w:type="dxa" w:w="1234"/>
          </w:tcPr>
          <w:p>
            <w:r>
              <w:t>1.53</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0.080</w:t>
            </w:r>
          </w:p>
        </w:tc>
        <w:tc>
          <w:tcPr>
            <w:tcW w:type="dxa" w:w="1234"/>
          </w:tcPr>
          <w:p>
            <w:r>
              <w:t>1.18</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0.88</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2.41</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0.023</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3.35 and MAPE 42.5%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758"/>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758"/>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1.77</w:t>
            </w:r>
          </w:p>
        </w:tc>
        <w:tc>
          <w:tcPr>
            <w:tcW w:type="dxa" w:w="2880"/>
          </w:tcPr>
          <w:p>
            <w:r>
              <w:t>25.2%</w:t>
            </w:r>
          </w:p>
        </w:tc>
      </w:tr>
      <w:tr>
        <w:tc>
          <w:tcPr>
            <w:tcW w:type="dxa" w:w="2880"/>
          </w:tcPr>
          <w:p>
            <w:r>
              <w:t>Continental Europe</w:t>
            </w:r>
          </w:p>
        </w:tc>
        <w:tc>
          <w:tcPr>
            <w:tcW w:type="dxa" w:w="2880"/>
          </w:tcPr>
          <w:p>
            <w:r>
              <w:t>1.97</w:t>
            </w:r>
          </w:p>
        </w:tc>
        <w:tc>
          <w:tcPr>
            <w:tcW w:type="dxa" w:w="2880"/>
          </w:tcPr>
          <w:p>
            <w:r>
              <w:t>27.2%</w:t>
            </w:r>
          </w:p>
        </w:tc>
      </w:tr>
      <w:tr>
        <w:tc>
          <w:tcPr>
            <w:tcW w:type="dxa" w:w="2880"/>
          </w:tcPr>
          <w:p>
            <w:r>
              <w:t>Hindu</w:t>
            </w:r>
          </w:p>
        </w:tc>
        <w:tc>
          <w:tcPr>
            <w:tcW w:type="dxa" w:w="2880"/>
          </w:tcPr>
          <w:p>
            <w:r>
              <w:t>2.44</w:t>
            </w:r>
          </w:p>
        </w:tc>
        <w:tc>
          <w:tcPr>
            <w:tcW w:type="dxa" w:w="2880"/>
          </w:tcPr>
          <w:p>
            <w:r>
              <w:t>39.4%</w:t>
            </w:r>
          </w:p>
        </w:tc>
      </w:tr>
      <w:tr>
        <w:tc>
          <w:tcPr>
            <w:tcW w:type="dxa" w:w="2880"/>
          </w:tcPr>
          <w:p>
            <w:r>
              <w:t>Islamic</w:t>
            </w:r>
          </w:p>
        </w:tc>
        <w:tc>
          <w:tcPr>
            <w:tcW w:type="dxa" w:w="2880"/>
          </w:tcPr>
          <w:p>
            <w:r>
              <w:t>4.99</w:t>
            </w:r>
          </w:p>
        </w:tc>
        <w:tc>
          <w:tcPr>
            <w:tcW w:type="dxa" w:w="2880"/>
          </w:tcPr>
          <w:p>
            <w:r>
              <w:t>68.9%</w:t>
            </w:r>
          </w:p>
        </w:tc>
      </w:tr>
      <w:tr>
        <w:tc>
          <w:tcPr>
            <w:tcW w:type="dxa" w:w="2880"/>
          </w:tcPr>
          <w:p>
            <w:r>
              <w:t>Japanese</w:t>
            </w:r>
          </w:p>
        </w:tc>
        <w:tc>
          <w:tcPr>
            <w:tcW w:type="dxa" w:w="2880"/>
          </w:tcPr>
          <w:p>
            <w:r>
              <w:t>1.23</w:t>
            </w:r>
          </w:p>
        </w:tc>
        <w:tc>
          <w:tcPr>
            <w:tcW w:type="dxa" w:w="2880"/>
          </w:tcPr>
          <w:p>
            <w:r>
              <w:t>32.1%</w:t>
            </w:r>
          </w:p>
        </w:tc>
      </w:tr>
      <w:tr>
        <w:tc>
          <w:tcPr>
            <w:tcW w:type="dxa" w:w="2880"/>
          </w:tcPr>
          <w:p>
            <w:r>
              <w:t>Other Civilizations</w:t>
            </w:r>
          </w:p>
        </w:tc>
        <w:tc>
          <w:tcPr>
            <w:tcW w:type="dxa" w:w="2880"/>
          </w:tcPr>
          <w:p>
            <w:r>
              <w:t>1.83</w:t>
            </w:r>
          </w:p>
        </w:tc>
        <w:tc>
          <w:tcPr>
            <w:tcW w:type="dxa" w:w="2880"/>
          </w:tcPr>
          <w:p>
            <w:r>
              <w:t>37.6%</w:t>
            </w:r>
          </w:p>
        </w:tc>
      </w:tr>
      <w:tr>
        <w:tc>
          <w:tcPr>
            <w:tcW w:type="dxa" w:w="2880"/>
          </w:tcPr>
          <w:p>
            <w:r>
              <w:t>Other Western</w:t>
            </w:r>
          </w:p>
        </w:tc>
        <w:tc>
          <w:tcPr>
            <w:tcW w:type="dxa" w:w="2880"/>
          </w:tcPr>
          <w:p>
            <w:r>
              <w:t>2.74</w:t>
            </w:r>
          </w:p>
        </w:tc>
        <w:tc>
          <w:tcPr>
            <w:tcW w:type="dxa" w:w="2880"/>
          </w:tcPr>
          <w:p>
            <w:r>
              <w:t>42.9%</w:t>
            </w:r>
          </w:p>
        </w:tc>
      </w:tr>
      <w:tr>
        <w:tc>
          <w:tcPr>
            <w:tcW w:type="dxa" w:w="2880"/>
          </w:tcPr>
          <w:p>
            <w:r>
              <w:t>Sinic</w:t>
            </w:r>
          </w:p>
        </w:tc>
        <w:tc>
          <w:tcPr>
            <w:tcW w:type="dxa" w:w="2880"/>
          </w:tcPr>
          <w:p>
            <w:r>
              <w:t>5.30</w:t>
            </w:r>
          </w:p>
        </w:tc>
        <w:tc>
          <w:tcPr>
            <w:tcW w:type="dxa" w:w="2880"/>
          </w:tcPr>
          <w:p>
            <w:r>
              <w:t>70.9%</w:t>
            </w:r>
          </w:p>
        </w:tc>
      </w:tr>
      <w:tr>
        <w:tc>
          <w:tcPr>
            <w:tcW w:type="dxa" w:w="2880"/>
          </w:tcPr>
          <w:p>
            <w:r>
              <w:t>United States</w:t>
            </w:r>
          </w:p>
        </w:tc>
        <w:tc>
          <w:tcPr>
            <w:tcW w:type="dxa" w:w="2880"/>
          </w:tcPr>
          <w:p>
            <w:r>
              <w:t>4.79</w:t>
            </w:r>
          </w:p>
        </w:tc>
        <w:tc>
          <w:tcPr>
            <w:tcW w:type="dxa" w:w="2880"/>
          </w:tcPr>
          <w:p>
            <w:r>
              <w:t>38.2%</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1.15</w:t>
            </w:r>
          </w:p>
        </w:tc>
        <w:tc>
          <w:tcPr>
            <w:tcW w:type="dxa" w:w="2880"/>
          </w:tcPr>
          <w:p>
            <w:r>
              <w:t>72.1%</w:t>
            </w:r>
          </w:p>
        </w:tc>
      </w:tr>
      <w:tr>
        <w:tc>
          <w:tcPr>
            <w:tcW w:type="dxa" w:w="2880"/>
          </w:tcPr>
          <w:p>
            <w:r>
              <w:t>D</w:t>
            </w:r>
          </w:p>
        </w:tc>
        <w:tc>
          <w:tcPr>
            <w:tcW w:type="dxa" w:w="2880"/>
          </w:tcPr>
          <w:p>
            <w:r>
              <w:t>2.42</w:t>
            </w:r>
          </w:p>
        </w:tc>
        <w:tc>
          <w:tcPr>
            <w:tcW w:type="dxa" w:w="2880"/>
          </w:tcPr>
          <w:p>
            <w:r>
              <w:t>29.4%</w:t>
            </w:r>
          </w:p>
        </w:tc>
      </w:tr>
      <w:tr>
        <w:tc>
          <w:tcPr>
            <w:tcW w:type="dxa" w:w="2880"/>
          </w:tcPr>
          <w:p>
            <w:r>
              <w:t>H_A</w:t>
            </w:r>
          </w:p>
        </w:tc>
        <w:tc>
          <w:tcPr>
            <w:tcW w:type="dxa" w:w="2880"/>
          </w:tcPr>
          <w:p>
            <w:r>
              <w:t>1.63</w:t>
            </w:r>
          </w:p>
        </w:tc>
        <w:tc>
          <w:tcPr>
            <w:tcW w:type="dxa" w:w="2880"/>
          </w:tcPr>
          <w:p>
            <w:r>
              <w:t>28.9%</w:t>
            </w:r>
          </w:p>
        </w:tc>
      </w:tr>
      <w:tr>
        <w:tc>
          <w:tcPr>
            <w:tcW w:type="dxa" w:w="2880"/>
          </w:tcPr>
          <w:p>
            <w:r>
              <w:t>H_D</w:t>
            </w:r>
          </w:p>
        </w:tc>
        <w:tc>
          <w:tcPr>
            <w:tcW w:type="dxa" w:w="2880"/>
          </w:tcPr>
          <w:p>
            <w:r>
              <w:t>6.54</w:t>
            </w:r>
          </w:p>
        </w:tc>
        <w:tc>
          <w:tcPr>
            <w:tcW w:type="dxa" w:w="2880"/>
          </w:tcPr>
          <w:p>
            <w:r>
              <w:t>44.2%</w:t>
            </w:r>
          </w:p>
        </w:tc>
      </w:tr>
      <w:tr>
        <w:tc>
          <w:tcPr>
            <w:tcW w:type="dxa" w:w="2880"/>
          </w:tcPr>
          <w:p>
            <w:r>
              <w:t>P_A</w:t>
            </w:r>
          </w:p>
        </w:tc>
        <w:tc>
          <w:tcPr>
            <w:tcW w:type="dxa" w:w="2880"/>
          </w:tcPr>
          <w:p>
            <w:r>
              <w:t>1.98</w:t>
            </w:r>
          </w:p>
        </w:tc>
        <w:tc>
          <w:tcPr>
            <w:tcW w:type="dxa" w:w="2880"/>
          </w:tcPr>
          <w:p>
            <w:r>
              <w:t>47.0%</w:t>
            </w:r>
          </w:p>
        </w:tc>
      </w:tr>
      <w:tr>
        <w:tc>
          <w:tcPr>
            <w:tcW w:type="dxa" w:w="2880"/>
          </w:tcPr>
          <w:p>
            <w:r>
              <w:t>P_D</w:t>
            </w:r>
          </w:p>
        </w:tc>
        <w:tc>
          <w:tcPr>
            <w:tcW w:type="dxa" w:w="2880"/>
          </w:tcPr>
          <w:p>
            <w:r>
              <w:t>3.32</w:t>
            </w:r>
          </w:p>
        </w:tc>
        <w:tc>
          <w:tcPr>
            <w:tcW w:type="dxa" w:w="2880"/>
          </w:tcPr>
          <w:p>
            <w:r>
              <w:t>33.3%</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T=207 active researchers (D=20, H_D=44, P_D=143) against a minimum viable threshold of M=50, so the safety ratio T/M is 4.10. The right-hand ladder compares Japan's six transition rates with those of the other civilisations. Japan's closest PNR is the exogenous entry rate I0: if I0 were reduced to 24.4% of its current level, the active pool would reach the minimum viable threshold. In the fitted rates, early-career outflow (α=0.033) and domestic PI promotion (p_D=0.042) are comparatively low, while return from abroad (β=0.110) and domestic hit generation (h_D=0.109)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T=207 researchers, with M=50 (T/M=4.10). Figure 8 (reproduced below) shows that Japan's closest PNR is the exogenous entry rate I0: if I0 fell to 24.4% of its current level, the active pool would reach the minimum viable threshold. The same figure shows that Japan's early-career outflow α (0.033) and domestic PI promotion p_D (0.042) are comparatively low, while return from abroad β (0.110) and domestic hit generation h_D (0.109)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3.35 and conservative MAPE of 42.5%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