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BMC Health Services Research</w:t>
      </w:r>
    </w:p>
    <w:p>
      <w:r>
        <w:rPr>
          <w:rFonts w:ascii="Times New Roman" w:hAnsi="Times New Roman"/>
          <w:b w:val="0"/>
          <w:i w:val="0"/>
          <w:sz w:val="24"/>
        </w:rPr>
        <w:t>Springer Nature</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BMC Health Services Research.</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a series of pre-specified sensitivity and robustness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BMC Health Services Research's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5.8% of variance lay between prefectures -- where audit policy differs -- while 94.2% occurred within prefectures where audit policy is uniform. University hospital presence was associated with the largest proportional reduction in total variance for general anaesthesia (35.8%) and was positive in all 47 prefectures, with a large effect size (Cohen's d 1.88). Sensitivity and robustness analyses—within-prefecture paired comparisons, covariate adjustment, empirical Bayes shrinkage, log-transformation, and audit-sensitivity checks (maximum audit-rate impact, code correlations and a combined general/spinal measure)—all were more consistent with structural access than with differential auditing as the main explanation; empirical Bayes shrinkage supported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BMC Health Services Research.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 Highlights file is also provided as optional supplementary material.</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formatted for BMC Health Services Research (main text approximately 3558 words; structured abstract 247 words, within the 350-word limit; 2 tables and 2 figures; 25 references). We have uploaded a separate title page, the anonymised main manuscript, separate editable tables and figures, and the STROBE checklist. A Highlights file is also provided as supplementary material.</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