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Onishi Tatsuki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Data Science AI Innovation Research Promotion Center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Shiga University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1-1-1, Bamba, Hikone, Shiga, 522-8522 Japan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Telephone: +81-749-27-1023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E-mail: bougtoir@gmail.com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ORCID: 0000-0001-7261-9062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19 May 2026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The Editors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/>
          <w:sz w:val="24"/>
        </w:rPr>
        <w:t>Economica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Dear Professors Besley, den Haan, Ghatak, Ngai, Overman, and Thomas,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 xml:space="preserve">I am pleased to submit for your consideration the enclosed manuscript, </w:t>
      </w:r>
      <w:r>
        <w:rPr>
          <w:rFonts w:ascii="Times New Roman" w:hAnsi="Times New Roman" w:eastAsia="MS Mincho"/>
          <w:b/>
          <w:i w:val="0"/>
          <w:sz w:val="24"/>
        </w:rPr>
        <w:t>"What the Solow Residual Has Been Hiding: Tempo Drift and the Missing Intangible Share in National Capital Stocks"</w:t>
      </w:r>
      <w:r>
        <w:rPr>
          <w:rFonts w:ascii="Times New Roman" w:hAnsi="Times New Roman" w:eastAsia="MS Mincho"/>
          <w:b w:val="0"/>
          <w:i w:val="0"/>
          <w:sz w:val="24"/>
        </w:rPr>
        <w:t xml:space="preserve">, as an Article for </w:t>
      </w:r>
      <w:r>
        <w:rPr>
          <w:rFonts w:ascii="Times New Roman" w:hAnsi="Times New Roman" w:eastAsia="MS Mincho"/>
          <w:b w:val="0"/>
          <w:i/>
          <w:sz w:val="24"/>
        </w:rPr>
        <w:t>Economica</w:t>
      </w:r>
      <w:r>
        <w:rPr>
          <w:rFonts w:ascii="Times New Roman" w:hAnsi="Times New Roman" w:eastAsia="MS Mincho"/>
          <w:b w:val="0"/>
          <w:i w:val="0"/>
          <w:sz w:val="24"/>
        </w:rPr>
        <w:t>.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 xml:space="preserve">The paper addresses a fundamental question in growth accounting: how much of what we call TFP is a genuine productivity residual, and how much is a book-keeping artefact of mis-timed capital stocks and omitted intangibles? I show that two parameters — a time-varying investment-to-output lag </w:t>
      </w:r>
      <w:r>
        <w:rPr>
          <w:rFonts w:ascii="Times New Roman" w:hAnsi="Times New Roman" w:eastAsia="MS Mincho"/>
          <w:b w:val="0"/>
          <w:i/>
          <w:sz w:val="24"/>
        </w:rPr>
        <w:t>μ</w:t>
      </w:r>
      <w:r>
        <w:rPr>
          <w:rFonts w:ascii="Times New Roman" w:hAnsi="Times New Roman" w:eastAsia="MS Mincho"/>
          <w:b w:val="0"/>
          <w:i w:val="0"/>
          <w:sz w:val="24"/>
        </w:rPr>
        <w:t xml:space="preserve">(t) and an intangible-capital share </w:t>
      </w:r>
      <w:r>
        <w:rPr>
          <w:rFonts w:ascii="Times New Roman" w:hAnsi="Times New Roman" w:eastAsia="MS Mincho"/>
          <w:b w:val="0"/>
          <w:i/>
          <w:sz w:val="24"/>
        </w:rPr>
        <w:t>β</w:t>
      </w:r>
      <w:r>
        <w:rPr>
          <w:rFonts w:ascii="Times New Roman" w:hAnsi="Times New Roman" w:eastAsia="MS Mincho"/>
          <w:b w:val="0"/>
          <w:i w:val="0"/>
          <w:sz w:val="24"/>
        </w:rPr>
        <w:t xml:space="preserve"> — jointly account for a measurable share of measured TFP variation across 39 OECD and middle-income economies (Penn World Table 10.01, World Bank CWON, 1995–2019). Letting </w:t>
      </w:r>
      <w:r>
        <w:rPr>
          <w:rFonts w:ascii="Times New Roman" w:hAnsi="Times New Roman" w:eastAsia="MS Mincho"/>
          <w:b w:val="0"/>
          <w:i/>
          <w:sz w:val="24"/>
        </w:rPr>
        <w:t>μ</w:t>
      </w:r>
      <w:r>
        <w:rPr>
          <w:rFonts w:ascii="Times New Roman" w:hAnsi="Times New Roman" w:eastAsia="MS Mincho"/>
          <w:b w:val="0"/>
          <w:i w:val="0"/>
          <w:sz w:val="24"/>
        </w:rPr>
        <w:t xml:space="preserve"> drift reduces out-of-sample GDP forecast error by 13 %, and a Solow-residual decomposition reveals that up to 30 % of TFP-growth variance can be re-attributed to tempo drift and missing intangibles rather than genuine innovation. When both corrections are applied, production-side (flow) and wealth-side (stock) national accounts agree to within 1–2 % for most countries — the first empirical success, to my knowledge, of the "unified national-wealth accounting" programme that Stiglitz, Sen, and Fitoussi (2009) called for.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 xml:space="preserve">I believe this work is well suited to </w:t>
      </w:r>
      <w:r>
        <w:rPr>
          <w:rFonts w:ascii="Times New Roman" w:hAnsi="Times New Roman" w:eastAsia="MS Mincho"/>
          <w:b w:val="0"/>
          <w:i/>
          <w:sz w:val="24"/>
        </w:rPr>
        <w:t>Economica</w:t>
      </w:r>
      <w:r>
        <w:rPr>
          <w:rFonts w:ascii="Times New Roman" w:hAnsi="Times New Roman" w:eastAsia="MS Mincho"/>
          <w:b w:val="0"/>
          <w:i w:val="0"/>
          <w:sz w:val="24"/>
        </w:rPr>
        <w:t xml:space="preserve"> for three reasons. First, it speaks directly to the economic substance of the Solow residual — a topic of central interest in macroeconomics and growth theory since Griliches (1996). The paper is framed not as a measurement exercise but as a discovery about what TFP has been measuring. Second, the identification exploits a structural analogy with the demographic tempo literature (Bongaarts and Feeney, 1998; Goldstein, Lutz, and Scherbov, 2003) that is novel in economics and generates falsifiable predictions. Third, the counterfactual wealth calculations have concrete policy implications for the Beyond-GDP debate, showing that official statistics systematically understate the productive capital base of innovation-intensive economies.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The manuscript is approximately 10,000 words of body text, with eleven figures and five tables.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I confirm the following:</w:t>
      </w:r>
    </w:p>
    <w:p>
      <w:pPr>
        <w:spacing w:after="0" w:before="0" w:line="360" w:lineRule="auto"/>
      </w:pP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4"/>
        </w:rPr>
        <w:t>•  This work is original and has not been published elsewhere.</w:t>
      </w: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4"/>
        </w:rPr>
        <w:t>•  The manuscript is not under consideration by any other journal.</w:t>
      </w: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4"/>
        </w:rPr>
        <w:t>•  All data sources (Penn World Table 10.01; World Bank CWON; World Bank WDI) are publicly available; analysis code and intermediate outputs are archived in the public companion repository.</w:t>
      </w: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4"/>
        </w:rPr>
        <w:t>•  I am the sole author.</w:t>
      </w: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4"/>
        </w:rPr>
        <w:t>•  I have no competing interests, financial or otherwise, related to this work.</w:t>
      </w:r>
    </w:p>
    <w:p>
      <w:pPr>
        <w:spacing w:after="40" w:line="360" w:lineRule="auto"/>
        <w:ind w:left="720" w:hanging="360"/>
      </w:pPr>
      <w:r>
        <w:rPr>
          <w:rFonts w:ascii="Times New Roman" w:hAnsi="Times New Roman" w:eastAsia="MS Mincho"/>
          <w:b w:val="0"/>
          <w:i w:val="0"/>
          <w:sz w:val="24"/>
        </w:rPr>
        <w:t>•  I used generative AI to assist with formatting the text, choosing words, and writing analysis code; this is documented in the manuscript.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I would be grateful for your consideration.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Yours sincerely,</w:t>
      </w:r>
    </w:p>
    <w:p>
      <w:pPr>
        <w:spacing w:after="0" w:before="0" w:line="360" w:lineRule="auto"/>
      </w:pP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Onishi Tatsuki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Data Science AI Innovation Research Promotion Center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Shiga University</w:t>
      </w:r>
    </w:p>
    <w:p>
      <w:pPr>
        <w:spacing w:after="40" w:line="360" w:lineRule="auto"/>
      </w:pPr>
      <w:r>
        <w:rPr>
          <w:rFonts w:ascii="Times New Roman" w:hAnsi="Times New Roman" w:eastAsia="MS Mincho"/>
          <w:b w:val="0"/>
          <w:i w:val="0"/>
          <w:sz w:val="24"/>
        </w:rPr>
        <w:t>bougtoir@gmail.com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