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480" w:lineRule="auto"/>
        <w:jc w:val="center"/>
      </w:pPr>
      <w:r>
        <w:rPr>
          <w:rFonts w:ascii="Times New Roman" w:hAnsi="Times New Roman" w:eastAsia="MS Mincho"/>
          <w:b/>
          <w:i w:val="0"/>
          <w:sz w:val="28"/>
        </w:rPr>
        <w:t>TABLE 3. RELATIONAL PIM DIAGNOSTICS: RHO_2 SUMMARY UNDER M0, M1, M2, M4.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Model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rho2 median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rho2 IQR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rho1 median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R2 median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N(rho2 in 0.9-1.1)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N total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0.801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[0.701, 0.911]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-7.51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0.991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0.799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[0.651, 0.911]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-7.25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0.988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0.799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[0.663, 0.924]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-7.19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0.986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0.833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[0.715, 0.930]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-8.32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0.991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