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35 OECD and middle-income economies (Penn World Table 10.01, World Bank CWON, 1950–2019), an observable, parameter-free tempo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without free parameters — shows that accounting for investment gestation lags changes measured capital by a median 4.3 % (range 0.6–9.2 %), shifts measured TFP by 1.7 percentage points, and shifts implied labour shares by 1.7 percentage points. These measurement consequences are largest in economies whose investment mix has shifted most toward long-gestation assets: Ireland (−9.2 %), Republic of Korea (−7.1 %), Israel (−6.4 %). A Solow-residual decomposition shows that up to 30 % of TFP-growth variance is attributable to tempo drift alone. Counterfactual wealth calculations indicate that official produced-capital figures understate intangible-adjusted wealth by 0.3–1.1 % for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Highlights</w:t>
      </w:r>
      <w:r>
        <w:rPr>
          <w:rFonts w:ascii="Times New Roman" w:hAnsi="Times New Roman" w:eastAsia="MS Mincho"/>
          <w:b w:val="0"/>
          <w:i w:val="0"/>
          <w:sz w:val="24"/>
        </w:rPr>
        <w:t>:</w:t>
      </w:r>
    </w:p>
    <w:p>
      <w:pPr>
        <w:spacing w:after="120" w:line="360" w:lineRule="auto"/>
        <w:ind w:left="720" w:hanging="360"/>
      </w:pPr>
      <w:r>
        <w:rPr>
          <w:rFonts w:ascii="Times New Roman" w:hAnsi="Times New Roman" w:eastAsia="MS Mincho"/>
          <w:b w:val="0"/>
          <w:i w:val="0"/>
          <w:sz w:val="24"/>
        </w:rPr>
        <w:t>•  Observable investment-composition shifts change measured capital stock by a median 4.3 %</w:t>
      </w:r>
    </w:p>
    <w:p>
      <w:pPr>
        <w:spacing w:after="120" w:line="360" w:lineRule="auto"/>
        <w:ind w:left="720" w:hanging="360"/>
      </w:pPr>
      <w:r>
        <w:rPr>
          <w:rFonts w:ascii="Times New Roman" w:hAnsi="Times New Roman" w:eastAsia="MS Mincho"/>
          <w:b w:val="0"/>
          <w:i w:val="0"/>
          <w:sz w:val="24"/>
        </w:rPr>
        <w:t>•  TFP shifts by 1.7 pp and implied labour share by 1.7 pp when capital is tempo-corrected</w:t>
      </w:r>
    </w:p>
    <w:p>
      <w:pPr>
        <w:spacing w:after="120" w:line="360" w:lineRule="auto"/>
        <w:ind w:left="720" w:hanging="360"/>
      </w:pPr>
      <w:r>
        <w:rPr>
          <w:rFonts w:ascii="Times New Roman" w:hAnsi="Times New Roman" w:eastAsia="MS Mincho"/>
          <w:b w:val="0"/>
          <w:i w:val="0"/>
          <w:sz w:val="24"/>
        </w:rPr>
        <w:t>•  Parameter-free M</w:t>
      </w:r>
      <w:r>
        <w:rPr>
          <w:rFonts w:ascii="Times New Roman" w:hAnsi="Times New Roman" w:eastAsia="MS Mincho"/>
          <w:b w:val="0"/>
          <w:i/>
          <w:sz w:val="24"/>
          <w:vertAlign w:val="subscript"/>
        </w:rPr>
        <w:t>o</w:t>
      </w:r>
      <w:r>
        <w:rPr>
          <w:rFonts w:ascii="Times New Roman" w:hAnsi="Times New Roman" w:eastAsia="MS Mincho"/>
          <w:b w:val="0"/>
          <w:i w:val="0"/>
          <w:sz w:val="24"/>
        </w:rPr>
        <w:t>bs proxy confirms findings without statistical fitting</w:t>
      </w:r>
    </w:p>
    <w:p>
      <w:pPr>
        <w:spacing w:after="120" w:line="360" w:lineRule="auto"/>
        <w:ind w:left="720" w:hanging="360"/>
      </w:pPr>
      <w:r>
        <w:rPr>
          <w:rFonts w:ascii="Times New Roman" w:hAnsi="Times New Roman" w:eastAsia="MS Mincho"/>
          <w:b w:val="0"/>
          <w:i w:val="0"/>
          <w:sz w:val="24"/>
        </w:rPr>
        <w:t>•  Flow and stock national accounts reconcile to 1–2 % after correction</w:t>
      </w:r>
    </w:p>
    <w:p>
      <w:pPr>
        <w:spacing w:after="120" w:line="360" w:lineRule="auto"/>
        <w:ind w:left="720" w:hanging="360"/>
      </w:pPr>
      <w:r>
        <w:rPr>
          <w:rFonts w:ascii="Times New Roman" w:hAnsi="Times New Roman" w:eastAsia="MS Mincho"/>
          <w:b w:val="0"/>
          <w:i w:val="0"/>
          <w:sz w:val="24"/>
        </w:rPr>
        <w:t>•  Official wealth understates intangible capital by 0.3–1.1 % in R&amp;D economies</w:t>
      </w:r>
    </w:p>
    <w:p>
      <w:pPr>
        <w:spacing w:before="360" w:after="120" w:line="360" w:lineRule="auto"/>
      </w:pPr>
      <w:r>
        <w:rPr>
          <w:rFonts w:ascii="Times New Roman" w:hAnsi="Times New Roman" w:eastAsia="MS Mincho"/>
          <w:b/>
          <w:i w:val="0"/>
          <w:sz w:val="28"/>
        </w:rPr>
        <w:t>1 Introduction</w:t>
      </w:r>
    </w:p>
    <w:p>
      <w:pPr>
        <w:spacing w:after="120" w:line="360" w:lineRule="auto"/>
        <w:ind w:firstLine="480"/>
      </w:pPr>
      <w:r>
        <w:rPr>
          <w:rFonts w:ascii="Times New Roman" w:hAnsi="Times New Roman" w:eastAsia="MS Mincho"/>
          <w:b w:val="0"/>
          <w:i w:val="0"/>
          <w:sz w:val="24"/>
        </w:rPr>
        <w:t>Growth accounting since Solow (1957) has relied on a residual — total factor productivity (TFP) — as the catch-all for output variation that measured inputs fail to explain. Half a century of refinements — sector-specific capital, human capital, utilisation adjustments — has shrunk this residual somewhat, yet it still absorbs a substantial, poorly understood component of macroeconomic fluctuations. For policymakers calibrating fiscal multipliers, central banks assessing potential output, and statistical agencies constructing national accounts, the Solow residual is simultaneously indispensable and opaque: indispensable because every macroeconomic forecast embeds it, opaque because no one knows how much of it is genuine innovation and how much is measurement error.</w:t>
      </w:r>
    </w:p>
    <w:p>
      <w:pPr>
        <w:spacing w:after="120" w:line="360" w:lineRule="auto"/>
        <w:ind w:firstLine="480"/>
      </w:pPr>
      <w:r>
        <w:rPr>
          <w:rFonts w:ascii="Times New Roman" w:hAnsi="Times New Roman" w:eastAsia="MS Mincho"/>
          <w:b w:val="0"/>
          <w:i w:val="0"/>
          <w:sz w:val="24"/>
        </w:rPr>
        <w:t xml:space="preserve">This paper identifies a specific, quantifiable source of that measurement error. Two parameters that conventional growth accounting imposes at zero — the time-varying investment-to-output lag </w:t>
      </w:r>
      <w:r>
        <w:rPr>
          <w:rFonts w:ascii="Times New Roman" w:hAnsi="Times New Roman" w:eastAsia="MS Mincho"/>
          <w:b w:val="0"/>
          <w:i/>
          <w:sz w:val="24"/>
        </w:rPr>
        <w:t>μ</w:t>
      </w:r>
      <w:r>
        <w:rPr>
          <w:rFonts w:ascii="Times New Roman" w:hAnsi="Times New Roman" w:eastAsia="MS Mincho"/>
          <w:b w:val="0"/>
          <w:i w:val="0"/>
          <w:sz w:val="24"/>
        </w:rPr>
        <w:t xml:space="preserve">(t) and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 jointly account for a measurable share of what has been labelled TFP. The core insight is novel: while time-to-build has been studied since Kydland and Prescott (1982), all prior work treats the lag as fixed across decades.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A time-to-build that was appropriate in 1970 systematically mis-times the capital stock in 2019.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perpetual inventory method (PIM) capital stock is mis-timed and the Solow residual absorbs the error. The second parameter, </w:t>
      </w:r>
      <w:r>
        <w:rPr>
          <w:rFonts w:ascii="Times New Roman" w:hAnsi="Times New Roman" w:eastAsia="MS Mincho"/>
          <w:b w:val="0"/>
          <w:i/>
          <w:sz w:val="24"/>
        </w:rPr>
        <w:t>β</w:t>
      </w:r>
      <w:r>
        <w:rPr>
          <w:rFonts w:ascii="Times New Roman" w:hAnsi="Times New Roman" w:eastAsia="MS Mincho"/>
          <w:b w:val="0"/>
          <w:i w:val="0"/>
          <w:sz w:val="24"/>
        </w:rPr>
        <w:t xml:space="preserve">, captures intangible capital that Corrado, Hulten, and Sichel (2005, 2009) have shown is quantitatively large yet that official wealth accounts — including the World Bank Changing Wealth of Nations (CWON; Lange, Wodon, and Carey, 2018) — still exclude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360" w:lineRule="auto"/>
        <w:ind w:firstLine="480"/>
      </w:pPr>
      <w:r>
        <w:rPr>
          <w:rFonts w:ascii="Times New Roman" w:hAnsi="Times New Roman" w:eastAsia="MS Mincho"/>
          <w:b w:val="0"/>
          <w:i w:val="0"/>
          <w:sz w:val="24"/>
        </w:rPr>
        <w:t xml:space="preserve">The identification strategy exploits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Under a precise change of variables, the same mathematics applies to capital accounting (Table 1):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 The tempo adjustment was itself a neglected insight within demography for decades — dormant from the 1970s until Bongaarts and Feeney revived it in 1998, with a further five years before Goldstein, Lutz, and Scherbov supplied the missing variance parameter. If a timing correction that had been under demographers' noses for a generation proved transformative once rediscovered, it would be surprising if the identical correction — applied for the first time to the vastly larger domain of capital accounting and GDP measurement — carried no new empirical content.</w:t>
      </w:r>
    </w:p>
    <w:p>
      <w:pPr>
        <w:spacing w:after="120" w:line="360" w:lineRule="auto"/>
        <w:ind w:firstLine="480"/>
      </w:pPr>
      <w:r>
        <w:rPr>
          <w:rFonts w:ascii="Times New Roman" w:hAnsi="Times New Roman" w:eastAsia="MS Mincho"/>
          <w:b w:val="0"/>
          <w:i w:val="0"/>
          <w:sz w:val="24"/>
        </w:rPr>
        <w:t>The macroeconomic stakes are concrete. An observable, parameter-free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(OECD, 2013) by weighting asset-specific gestation lags by their investment shares — shows that the tempo correction changes measured capital stocks by a median 4.3 % across 35 OECD and middle-income economies (Penn World Table 10.01, World Bank CWON, 1950–2019). This is not a forecasting result: it is a measurement consequence. When the capital stock changes, everything built on it changes: TFP shifts by a median 1.7 percentage points and the implied labour share shifts by 1.7 percentage points. The effects are largest in economies whose investment mix has shifted most toward long-gestation assets — Ireland (−9.2 %), Republic of Korea (−7.1 %), Israel (−6.4 %) — and smallest where the asset mix has been stable. A Solow-residual decomposition reveals that tempo drift alone accounts for up to 30 % of TFP-growth variance in some countries — variance that has been misread as innovation shocks in DSGE models calibrated to the conventional residual (Smets and Wouters, 2007). Counterfactual wealth calculations show that official produced-capital figures understate intangible-adjusted wealth by 0.3–1.1 % in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val="0"/>
          <w:i w:val="0"/>
          <w:sz w:val="24"/>
        </w:rPr>
        <w:t xml:space="preserve">Three implications for macroeconomic analysis follow directly. First, potential-output estimates that feed into fiscal-policy rules and output-gap calculations inherit the tempo bias: if capital is systematically mis-timed, the output gap is mis-measured, and the fiscal stance calibrated to it is correspondingly distorted. Second, the time-varying lag </w:t>
      </w:r>
      <w:r>
        <w:rPr>
          <w:rFonts w:ascii="Times New Roman" w:hAnsi="Times New Roman" w:eastAsia="MS Mincho"/>
          <w:b w:val="0"/>
          <w:i/>
          <w:sz w:val="24"/>
        </w:rPr>
        <w:t>μ</w:t>
      </w:r>
      <w:r>
        <w:rPr>
          <w:rFonts w:ascii="Times New Roman" w:hAnsi="Times New Roman" w:eastAsia="MS Mincho"/>
          <w:b w:val="0"/>
          <w:i w:val="0"/>
          <w:sz w:val="24"/>
        </w:rPr>
        <w:t>(t) provides a structural interpretation for the well-documented lengthening of monetary-policy transmission lags (Havranek and Rusnak, 2013): as the typical investment project takes longer to mature, the real-economy response to interest-rate changes is delayed by the same mechanism that this paper formalises. Third,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suggesting that one-size-fits-all depreciation schedules in the System of National Accounts (SNA) are a measurable source of international GDP comparability problems.</w:t>
      </w:r>
    </w:p>
    <w:p>
      <w:pPr>
        <w:spacing w:after="120" w:line="360" w:lineRule="auto"/>
        <w:ind w:firstLine="480"/>
      </w:pPr>
      <w:r>
        <w:rPr>
          <w:rFonts w:ascii="Times New Roman" w:hAnsi="Times New Roman" w:eastAsia="MS Mincho"/>
          <w:b w:val="0"/>
          <w:i w:val="0"/>
          <w:sz w:val="24"/>
        </w:rPr>
        <w:t>The remainder of the paper proceeds as follows. Section 2 reviews the capital-accounting, intangibles, and tempo-demography literatures. Section 3 develops the theory. Section 4 describes the data and methods and defines five models M0–M4 of increasing generality. Section 5 reports results, including the Solow-residual decomposition and counterfactual wealth simulation. Section 6 discusses policy implications. Section 7 concludes.</w:t>
      </w:r>
    </w:p>
    <w:p>
      <w:pPr>
        <w:spacing w:before="360" w:after="120" w:line="360" w:lineRule="auto"/>
      </w:pPr>
      <w:r>
        <w:rPr>
          <w:rFonts w:ascii="Times New Roman" w:hAnsi="Times New Roman" w:eastAsia="MS Mincho"/>
          <w:b/>
          <w:i w:val="0"/>
          <w:sz w:val="28"/>
        </w:rPr>
        <w:t>2 Related literature</w:t>
      </w:r>
    </w:p>
    <w:p>
      <w:pPr>
        <w:spacing w:after="120" w:line="36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2022).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McGrattan and Prescott (2010)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pPr>
      <w:r>
        <w:rPr>
          <w:rFonts w:ascii="Times New Roman" w:hAnsi="Times New Roman" w:eastAsia="MS Mincho"/>
          <w:b/>
          <w:i w:val="0"/>
          <w:sz w:val="28"/>
        </w:rPr>
        <w:t>3 Theory</w:t>
      </w:r>
    </w:p>
    <w:p>
      <w:pPr>
        <w:spacing w:before="360" w:after="120" w:line="360" w:lineRule="auto"/>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360" w:lineRule="auto"/>
      </w:pPr>
      <w:r>
        <w:rPr>
          <w:rFonts w:ascii="Times New Roman" w:hAnsi="Times New Roman" w:eastAsia="MS Mincho"/>
          <w:b/>
          <w:i w:val="0"/>
          <w:sz w:val="24"/>
        </w:rPr>
        <w:t>3.2 Stock-side intangibles: the forgotten β</w:t>
      </w:r>
    </w:p>
    <w:p>
      <w:pPr>
        <w:spacing w:after="120" w:line="36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360" w:lineRule="auto"/>
      </w:pPr>
      <w:r>
        <w:rPr>
          <w:rFonts w:ascii="Times New Roman" w:hAnsi="Times New Roman" w:eastAsia="MS Mincho"/>
          <w:b/>
          <w:i w:val="0"/>
          <w:sz w:val="24"/>
        </w:rPr>
        <w:t>3.3 Unifying identity: the flow-stock joint loss</w:t>
      </w:r>
    </w:p>
    <w:p>
      <w:pPr>
        <w:spacing w:after="120" w:line="36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360" w:lineRule="auto"/>
      </w:pPr>
      <w:r>
        <w:rPr>
          <w:rFonts w:ascii="Times New Roman" w:hAnsi="Times New Roman" w:eastAsia="MS Mincho"/>
          <w:b/>
          <w:i w:val="0"/>
          <w:sz w:val="24"/>
        </w:rPr>
        <w:t>3.4 Quantum–tempo correspondence between population and capital</w:t>
      </w:r>
    </w:p>
    <w:p>
      <w:pPr>
        <w:spacing w:after="120" w:line="360" w:lineRule="auto"/>
        <w:ind w:firstLine="480"/>
      </w:pPr>
      <w:r>
        <w:rPr>
          <w:rFonts w:ascii="Times New Roman" w:hAnsi="Times New Roman" w:eastAsia="MS Mincho"/>
          <w:b w:val="0"/>
          <w:i w:val="0"/>
          <w:sz w:val="24"/>
        </w:rPr>
        <w:t xml:space="preserve">Table 1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360" w:after="120" w:line="360" w:lineRule="auto"/>
      </w:pPr>
      <w:r>
        <w:rPr>
          <w:rFonts w:ascii="Times New Roman" w:hAnsi="Times New Roman" w:eastAsia="MS Mincho"/>
          <w:b/>
          <w:i w:val="0"/>
          <w:sz w:val="24"/>
        </w:rPr>
        <w:t>3.5 Relational PIM: a Brass model for capital accounting</w:t>
      </w:r>
    </w:p>
    <w:p>
      <w:pPr>
        <w:spacing w:after="120" w:line="36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360" w:lineRule="auto"/>
      </w:pPr>
      <w:r>
        <w:rPr>
          <w:rFonts w:ascii="Times New Roman" w:hAnsi="Times New Roman" w:eastAsia="MS Mincho"/>
          <w:b/>
          <w:i w:val="0"/>
          <w:sz w:val="28"/>
        </w:rPr>
        <w:t>4 Data and methods</w:t>
      </w:r>
    </w:p>
    <w:p>
      <w:pPr>
        <w:spacing w:before="360" w:after="120" w:line="360" w:lineRule="auto"/>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 For the observable-tempo construction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we use </w:t>
      </w:r>
      <w:r>
        <w:rPr>
          <w:rFonts w:ascii="Times New Roman" w:hAnsi="Times New Roman" w:eastAsia="MS Mincho"/>
          <w:b/>
          <w:i w:val="0"/>
          <w:sz w:val="24"/>
        </w:rPr>
        <w:t>OECD gross fixed capital formation by asset type</w:t>
      </w:r>
      <w:r>
        <w:rPr>
          <w:rFonts w:ascii="Times New Roman" w:hAnsi="Times New Roman" w:eastAsia="MS Mincho"/>
          <w:b w:val="0"/>
          <w:i w:val="0"/>
          <w:sz w:val="24"/>
        </w:rPr>
        <w:t xml:space="preserve"> (OECD.Stat, SNA Table 8A), which reports investment broken down by asset category (dwellings, other buildings, transport equipment, ICT equipment, other machinery, intellectual property products) for all OECD member states.</w:t>
      </w:r>
    </w:p>
    <w:p>
      <w:pPr>
        <w:spacing w:after="120" w:line="36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360" w:lineRule="auto"/>
      </w:pPr>
      <w:r>
        <w:rPr>
          <w:rFonts w:ascii="Times New Roman" w:hAnsi="Times New Roman" w:eastAsia="MS Mincho"/>
          <w:b/>
          <w:i w:val="0"/>
          <w:sz w:val="24"/>
        </w:rPr>
        <w:t>4.2 Models M0–M4 and M_obs</w:t>
      </w:r>
    </w:p>
    <w:p>
      <w:pPr>
        <w:spacing w:after="120" w:line="360" w:lineRule="auto"/>
        <w:ind w:firstLine="480"/>
      </w:pPr>
      <w:r>
        <w:rPr>
          <w:rFonts w:ascii="Times New Roman" w:hAnsi="Times New Roman" w:eastAsia="MS Mincho"/>
          <w:b w:val="0"/>
          <w:i w:val="0"/>
          <w:sz w:val="24"/>
        </w:rPr>
        <w:t>We estimate six production-function specifications:</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 3.3),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w:t>
      </w:r>
      <w:r>
        <w:rPr>
          <w:rFonts w:ascii="Times New Roman" w:hAnsi="Times New Roman" w:eastAsia="MS Mincho"/>
          <w:b/>
          <w:i/>
          <w:sz w:val="24"/>
          <w:vertAlign w:val="subscript"/>
        </w:rPr>
        <w:t>o</w:t>
      </w:r>
      <w:r>
        <w:rPr>
          <w:rFonts w:ascii="Times New Roman" w:hAnsi="Times New Roman" w:eastAsia="MS Mincho"/>
          <w:b/>
          <w:i w:val="0"/>
          <w:sz w:val="24"/>
        </w:rPr>
        <w:t>bs</w:t>
      </w:r>
      <w:r>
        <w:rPr>
          <w:rFonts w:ascii="Times New Roman" w:hAnsi="Times New Roman" w:eastAsia="MS Mincho"/>
          <w:b w:val="0"/>
          <w:i w:val="0"/>
          <w:sz w:val="24"/>
        </w:rPr>
        <w:t xml:space="preserve">: Observable tempo, where </w:t>
      </w:r>
      <w:r>
        <w:rPr>
          <w:rFonts w:ascii="Times New Roman" w:hAnsi="Times New Roman" w:eastAsia="MS Mincho"/>
          <w:b w:val="0"/>
          <w:i/>
          <w:sz w:val="24"/>
        </w:rPr>
        <w:t>μ</w:t>
      </w:r>
      <w:r>
        <w:rPr>
          <w:rFonts w:ascii="Times New Roman" w:hAnsi="Times New Roman" w:eastAsia="MS Mincho"/>
          <w:b w:val="0"/>
          <w:i w:val="0"/>
          <w:sz w:val="24"/>
        </w:rPr>
        <w:t xml:space="preserve">(t) is constructed directly from OECD gross fixed capital formation (GFCF) by asset type. For each country-year, the share of investment in each asset category (dwellings, other buildings, transport equipment, ICT equipment, machinery, intellectual property products) is computed from OECD GFCF data, and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w:t>
      </w:r>
      <w:r>
        <w:rPr>
          <w:rFonts w:ascii="Times New Roman" w:hAnsi="Times New Roman" w:eastAsia="MS Mincho"/>
          <w:b w:val="0"/>
          <w:i/>
          <w:sz w:val="24"/>
        </w:rPr>
        <w:t>Σ</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where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is the share of asset </w:t>
      </w:r>
      <w:r>
        <w:rPr>
          <w:rFonts w:ascii="Times New Roman" w:hAnsi="Times New Roman" w:eastAsia="MS Mincho"/>
          <w:b w:val="0"/>
          <w:i/>
          <w:sz w:val="24"/>
        </w:rPr>
        <w:t>a</w:t>
      </w:r>
      <w:r>
        <w:rPr>
          <w:rFonts w:ascii="Times New Roman" w:hAnsi="Times New Roman" w:eastAsia="MS Mincho"/>
          <w:b w:val="0"/>
          <w:i w:val="0"/>
          <w:sz w:val="24"/>
        </w:rPr>
        <w:t xml:space="preserve"> in total GFCF and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is the literature-based gestation lag for asset </w:t>
      </w:r>
      <w:r>
        <w:rPr>
          <w:rFonts w:ascii="Times New Roman" w:hAnsi="Times New Roman" w:eastAsia="MS Mincho"/>
          <w:b w:val="0"/>
          <w:i/>
          <w:sz w:val="24"/>
        </w:rPr>
        <w:t>a</w:t>
      </w:r>
      <w:r>
        <w:rPr>
          <w:rFonts w:ascii="Times New Roman" w:hAnsi="Times New Roman" w:eastAsia="MS Mincho"/>
          <w:b w:val="0"/>
          <w:i w:val="0"/>
          <w:sz w:val="24"/>
        </w:rPr>
        <w:t xml:space="preserve"> (dwellings and other buildings: 2.0 years; transport equipment: 0.5 years; ICT equipment: 0.3 years; machinery: 0.8 years; intellectual property products: 3.0 years).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has </w:t>
      </w:r>
      <w:r>
        <w:rPr>
          <w:rFonts w:ascii="Times New Roman" w:hAnsi="Times New Roman" w:eastAsia="MS Mincho"/>
          <w:b/>
          <w:i w:val="0"/>
          <w:sz w:val="24"/>
        </w:rPr>
        <w:t>zero free parameters</w:t>
      </w:r>
      <w:r>
        <w:rPr>
          <w:rFonts w:ascii="Times New Roman" w:hAnsi="Times New Roman" w:eastAsia="MS Mincho"/>
          <w:b w:val="0"/>
          <w:i w:val="0"/>
          <w:sz w:val="24"/>
        </w:rPr>
        <w:t>: the capital stock K</w:t>
      </w:r>
      <w:r>
        <w:rPr>
          <w:rFonts w:ascii="Times New Roman" w:hAnsi="Times New Roman" w:eastAsia="MS Mincho"/>
          <w:b w:val="0"/>
          <w:i/>
          <w:sz w:val="24"/>
          <w:vertAlign w:val="subscript"/>
        </w:rPr>
        <w:t>o</w:t>
      </w:r>
      <w:r>
        <w:rPr>
          <w:rFonts w:ascii="Times New Roman" w:hAnsi="Times New Roman" w:eastAsia="MS Mincho"/>
          <w:b w:val="0"/>
          <w:i w:val="0"/>
          <w:sz w:val="24"/>
        </w:rPr>
        <w:t>bs(t) is determined entirely by observable investment composition and published gestation lags. This makes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immune to the critique that </w:t>
      </w:r>
      <w:r>
        <w:rPr>
          <w:rFonts w:ascii="Times New Roman" w:hAnsi="Times New Roman" w:eastAsia="MS Mincho"/>
          <w:b w:val="0"/>
          <w:i/>
          <w:sz w:val="24"/>
        </w:rPr>
        <w:t>μ</w:t>
      </w:r>
      <w:r>
        <w:rPr>
          <w:rFonts w:ascii="Times New Roman" w:hAnsi="Times New Roman" w:eastAsia="MS Mincho"/>
          <w:b w:val="0"/>
          <w:i w:val="0"/>
          <w:sz w:val="24"/>
        </w:rPr>
        <w:t xml:space="preserve"> is a fitting parameter, since nothing is fitted.</w:t>
      </w:r>
    </w:p>
    <w:p>
      <w:pPr>
        <w:spacing w:after="120" w:line="36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360" w:lineRule="auto"/>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360" w:lineRule="auto"/>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360" w:lineRule="auto"/>
      </w:pPr>
      <w:r>
        <w:rPr>
          <w:rFonts w:ascii="Times New Roman" w:hAnsi="Times New Roman" w:eastAsia="MS Mincho"/>
          <w:b/>
          <w:i w:val="0"/>
          <w:sz w:val="24"/>
        </w:rPr>
        <w:t>4.5 γ_price sensitivity</w:t>
      </w:r>
    </w:p>
    <w:p>
      <w:pPr>
        <w:spacing w:after="120" w:line="36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360" w:lineRule="auto"/>
      </w:pPr>
      <w:r>
        <w:rPr>
          <w:rFonts w:ascii="Times New Roman" w:hAnsi="Times New Roman" w:eastAsia="MS Mincho"/>
          <w:b/>
          <w:i w:val="0"/>
          <w:sz w:val="28"/>
        </w:rPr>
        <w:t>5 Results</w:t>
      </w:r>
    </w:p>
    <w:p>
      <w:pPr>
        <w:spacing w:before="360" w:after="120" w:line="36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Table 2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36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2.</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4"/>
        </w:rPr>
        <w:t xml:space="preserve">Figure 2 shows the out-of-sample performance.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 The observable-tempo M</w:t>
      </w:r>
      <w:r>
        <w:rPr>
          <w:rFonts w:ascii="Times New Roman" w:hAnsi="Times New Roman" w:eastAsia="MS Mincho"/>
          <w:b w:val="0"/>
          <w:i/>
          <w:sz w:val="24"/>
          <w:vertAlign w:val="subscript"/>
        </w:rPr>
        <w:t>o</w:t>
      </w:r>
      <w:r>
        <w:rPr>
          <w:rFonts w:ascii="Times New Roman" w:hAnsi="Times New Roman" w:eastAsia="MS Mincho"/>
          <w:b w:val="0"/>
          <w:i w:val="0"/>
          <w:sz w:val="24"/>
        </w:rPr>
        <w:t>bs achieves a median MAPE of 4.17 %, a 9.5 % improvement over M0, obtained with zero free parameters — confirming that the documented investment-composition shift alone, without any statistical fitting, is sufficient to improve the capital-stock construction.</w:t>
      </w:r>
    </w:p>
    <w:p>
      <w:pPr>
        <w:spacing w:after="120" w:line="360" w:lineRule="auto"/>
        <w:ind w:firstLine="480"/>
      </w:pPr>
      <w:r>
        <w:rPr>
          <w:rFonts w:ascii="Times New Roman" w:hAnsi="Times New Roman" w:eastAsia="MS Mincho"/>
          <w:b w:val="0"/>
          <w:i w:val="0"/>
          <w:sz w:val="24"/>
        </w:rPr>
        <w:t xml:space="preserve">We note, however, that out-of-sample prediction accuracy is not evidence of measurement quality </w:t>
      </w:r>
      <w:r>
        <w:rPr>
          <w:rFonts w:ascii="Times New Roman" w:hAnsi="Times New Roman" w:eastAsia="MS Mincho"/>
          <w:b w:val="0"/>
          <w:i/>
          <w:sz w:val="24"/>
        </w:rPr>
        <w:t>per se</w:t>
      </w:r>
      <w:r>
        <w:rPr>
          <w:rFonts w:ascii="Times New Roman" w:hAnsi="Times New Roman" w:eastAsia="MS Mincho"/>
          <w:b w:val="0"/>
          <w:i w:val="0"/>
          <w:sz w:val="24"/>
        </w:rPr>
        <w:t>: selecting a capital series by how well it tracks output risks folding output variation into the capital measure. The substantive measurement case for the tempo correction is developed in Sect. 5.10, where we show that the correction changes measured capital levels, TFP, and implied labour shares in ways that are independent of forecast performance.</w:t>
      </w:r>
    </w:p>
    <w:p>
      <w:pPr>
        <w:spacing w:after="120" w:line="36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36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Hayashi and Prescott (2002) and the standard view that Japanese "lost-decade" wealth accounting is dominated by price rather than quantity effects.</w:t>
      </w:r>
    </w:p>
    <w:p>
      <w:pPr>
        <w:spacing w:before="360" w:after="120" w:line="36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Figure 6 and Table 3 report the Relational PIM diagnostics defined in Sect. 3.5.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36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480"/>
      </w:pPr>
      <w:r>
        <w:rPr>
          <w:rFonts w:ascii="Times New Roman" w:hAnsi="Times New Roman" w:eastAsia="MS Mincho"/>
          <w:b w:val="0"/>
          <w:i w:val="0"/>
          <w:sz w:val="24"/>
        </w:rPr>
        <w:t xml:space="preserve">A natural concern (discussed further in Sect. 6.7) is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36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4"/>
        </w:rPr>
        <w:t xml:space="preserve">Table 2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36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36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36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15.3 %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36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360" w:lineRule="auto"/>
        <w:ind w:firstLine="480"/>
      </w:pPr>
      <w:r>
        <w:rPr>
          <w:rFonts w:ascii="Times New Roman" w:hAnsi="Times New Roman" w:eastAsia="MS Mincho"/>
          <w:b w:val="0"/>
          <w:i w:val="0"/>
          <w:sz w:val="24"/>
        </w:rPr>
        <w:t xml:space="preserve">The cross-sectional R² remains modest (12.9 %),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360" w:lineRule="auto"/>
      </w:pPr>
      <w:r>
        <w:rPr>
          <w:rFonts w:ascii="Times New Roman" w:hAnsi="Times New Roman" w:eastAsia="MS Mincho"/>
          <w:b/>
          <w:i w:val="0"/>
          <w:sz w:val="24"/>
        </w:rPr>
        <w:t>5.10 Capital-level measurement consequences of tempo correction</w:t>
      </w:r>
    </w:p>
    <w:p>
      <w:pPr>
        <w:spacing w:before="360" w:after="120"/>
        <w:jc w:val="center"/>
      </w:pPr>
      <w:r>
        <w:drawing>
          <wp:inline xmlns:a="http://schemas.openxmlformats.org/drawingml/2006/main" xmlns:pic="http://schemas.openxmlformats.org/drawingml/2006/picture">
            <wp:extent cx="5669280" cy="3255806"/>
            <wp:docPr id="10" name="Picture 10"/>
            <wp:cNvGraphicFramePr>
              <a:graphicFrameLocks noChangeAspect="1"/>
            </wp:cNvGraphicFramePr>
            <a:graphic>
              <a:graphicData uri="http://schemas.openxmlformats.org/drawingml/2006/picture">
                <pic:pic>
                  <pic:nvPicPr>
                    <pic:cNvPr id="0" name="fig10_k_divergence_en.png"/>
                    <pic:cNvPicPr/>
                  </pic:nvPicPr>
                  <pic:blipFill>
                    <a:blip r:embed="rId18"/>
                    <a:stretch>
                      <a:fillRect/>
                    </a:stretch>
                  </pic:blipFill>
                  <pic:spPr>
                    <a:xfrm>
                      <a:off x="0" y="0"/>
                      <a:ext cx="5669280" cy="3255806"/>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Capital-stock divergence: K_obs vs K_M0 over time for six representative countries.</w:t>
      </w:r>
    </w:p>
    <w:p>
      <w:pPr>
        <w:spacing w:after="120" w:line="360" w:lineRule="auto"/>
        <w:ind w:firstLine="480"/>
      </w:pPr>
      <w:r>
        <w:rPr>
          <w:rFonts w:ascii="Times New Roman" w:hAnsi="Times New Roman" w:eastAsia="MS Mincho"/>
          <w:b w:val="0"/>
          <w:i w:val="0"/>
          <w:sz w:val="24"/>
        </w:rPr>
        <w:t xml:space="preserve">The preceding analyses establish that the tempo correction improves forecast accuracy and flow-stock consistency. But the economically fundamental question is different: does the correction change the </w:t>
      </w:r>
      <w:r>
        <w:rPr>
          <w:rFonts w:ascii="Times New Roman" w:hAnsi="Times New Roman" w:eastAsia="MS Mincho"/>
          <w:b w:val="0"/>
          <w:i/>
          <w:sz w:val="24"/>
        </w:rPr>
        <w:t>measured capital stock itself</w:t>
      </w:r>
      <w:r>
        <w:rPr>
          <w:rFonts w:ascii="Times New Roman" w:hAnsi="Times New Roman" w:eastAsia="MS Mincho"/>
          <w:b w:val="0"/>
          <w:i w:val="0"/>
          <w:sz w:val="24"/>
        </w:rPr>
        <w:t>, and do those changes propagate to the growth-accounting quantities — TFP and labour shares — that macroeconomists actually use? This section shows that they do, and quantifies the magnitudes.</w:t>
      </w:r>
    </w:p>
    <w:p>
      <w:pPr>
        <w:spacing w:after="120" w:line="360" w:lineRule="auto"/>
        <w:ind w:firstLine="480"/>
      </w:pPr>
      <w:r>
        <w:rPr>
          <w:rFonts w:ascii="Times New Roman" w:hAnsi="Times New Roman" w:eastAsia="MS Mincho"/>
          <w:b w:val="0"/>
          <w:i w:val="0"/>
          <w:sz w:val="24"/>
        </w:rPr>
        <w:t xml:space="preserve">From the growth-accounting identity TFP = log Y − </w:t>
      </w:r>
      <w:r>
        <w:rPr>
          <w:rFonts w:ascii="Times New Roman" w:hAnsi="Times New Roman" w:eastAsia="MS Mincho"/>
          <w:b w:val="0"/>
          <w:i/>
          <w:sz w:val="24"/>
        </w:rPr>
        <w:t>α</w:t>
      </w:r>
      <w:r>
        <w:rPr>
          <w:rFonts w:ascii="Times New Roman" w:hAnsi="Times New Roman" w:eastAsia="MS Mincho"/>
          <w:b w:val="0"/>
          <w:i w:val="0"/>
          <w:sz w:val="24"/>
        </w:rPr>
        <w:t xml:space="preserve"> log K − (1−</w:t>
      </w:r>
      <w:r>
        <w:rPr>
          <w:rFonts w:ascii="Times New Roman" w:hAnsi="Times New Roman" w:eastAsia="MS Mincho"/>
          <w:b w:val="0"/>
          <w:i/>
          <w:sz w:val="24"/>
        </w:rPr>
        <w:t>α</w:t>
      </w:r>
      <w:r>
        <w:rPr>
          <w:rFonts w:ascii="Times New Roman" w:hAnsi="Times New Roman" w:eastAsia="MS Mincho"/>
          <w:b w:val="0"/>
          <w:i w:val="0"/>
          <w:sz w:val="24"/>
        </w:rPr>
        <w:t xml:space="preserve">) log LH, any change in measured capital changes measured TFP mechanically: </w:t>
      </w:r>
      <w:r>
        <w:rPr>
          <w:rFonts w:ascii="Times New Roman" w:hAnsi="Times New Roman" w:eastAsia="MS Mincho"/>
          <w:b w:val="0"/>
          <w:i/>
          <w:sz w:val="24"/>
        </w:rPr>
        <w:t>Δ</w:t>
      </w:r>
      <w:r>
        <w:rPr>
          <w:rFonts w:ascii="Times New Roman" w:hAnsi="Times New Roman" w:eastAsia="MS Mincho"/>
          <w:b w:val="0"/>
          <w:i w:val="0"/>
          <w:sz w:val="24"/>
        </w:rPr>
        <w:t xml:space="preserve"> log K = (TFP</w:t>
      </w:r>
      <w:r>
        <w:rPr>
          <w:rFonts w:ascii="Times New Roman" w:hAnsi="Times New Roman" w:eastAsia="MS Mincho"/>
          <w:b w:val="0"/>
          <w:i/>
          <w:sz w:val="24"/>
          <w:vertAlign w:val="subscript"/>
        </w:rPr>
        <w:t>M</w:t>
      </w:r>
      <w:r>
        <w:rPr>
          <w:rFonts w:ascii="Times New Roman" w:hAnsi="Times New Roman" w:eastAsia="MS Mincho"/>
          <w:b w:val="0"/>
          <w:i w:val="0"/>
          <w:sz w:val="24"/>
        </w:rPr>
        <w:t>0 −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w:t>
      </w:r>
      <w:r>
        <w:rPr>
          <w:rFonts w:ascii="Times New Roman" w:hAnsi="Times New Roman" w:eastAsia="MS Mincho"/>
          <w:b w:val="0"/>
          <w:i/>
          <w:sz w:val="24"/>
        </w:rPr>
        <w:t>α</w:t>
      </w:r>
      <w:r>
        <w:rPr>
          <w:rFonts w:ascii="Times New Roman" w:hAnsi="Times New Roman" w:eastAsia="MS Mincho"/>
          <w:b w:val="0"/>
          <w:i w:val="0"/>
          <w:sz w:val="24"/>
        </w:rPr>
        <w:t>. Figure 10 plots the K-level divergence — K</w:t>
      </w:r>
      <w:r>
        <w:rPr>
          <w:rFonts w:ascii="Times New Roman" w:hAnsi="Times New Roman" w:eastAsia="MS Mincho"/>
          <w:b w:val="0"/>
          <w:i/>
          <w:sz w:val="24"/>
          <w:vertAlign w:val="subscript"/>
        </w:rPr>
        <w:t>o</w:t>
      </w:r>
      <w:r>
        <w:rPr>
          <w:rFonts w:ascii="Times New Roman" w:hAnsi="Times New Roman" w:eastAsia="MS Mincho"/>
          <w:b w:val="0"/>
          <w:i w:val="0"/>
          <w:sz w:val="24"/>
        </w:rPr>
        <w:t>bs/K</w:t>
      </w:r>
      <w:r>
        <w:rPr>
          <w:rFonts w:ascii="Times New Roman" w:hAnsi="Times New Roman" w:eastAsia="MS Mincho"/>
          <w:b w:val="0"/>
          <w:i/>
          <w:sz w:val="24"/>
          <w:vertAlign w:val="subscript"/>
        </w:rPr>
        <w:t>M</w:t>
      </w:r>
      <w:r>
        <w:rPr>
          <w:rFonts w:ascii="Times New Roman" w:hAnsi="Times New Roman" w:eastAsia="MS Mincho"/>
          <w:b w:val="0"/>
          <w:i w:val="0"/>
          <w:sz w:val="24"/>
        </w:rPr>
        <w:t>0 − 1 in percent — over the full sample period for six representative countries (Japan, United States, Germany, Republic of Korea, United Kingdom, Sweden). In every country the tempo-corrected stock K</w:t>
      </w:r>
      <w:r>
        <w:rPr>
          <w:rFonts w:ascii="Times New Roman" w:hAnsi="Times New Roman" w:eastAsia="MS Mincho"/>
          <w:b w:val="0"/>
          <w:i/>
          <w:sz w:val="24"/>
          <w:vertAlign w:val="subscript"/>
        </w:rPr>
        <w:t>o</w:t>
      </w:r>
      <w:r>
        <w:rPr>
          <w:rFonts w:ascii="Times New Roman" w:hAnsi="Times New Roman" w:eastAsia="MS Mincho"/>
          <w:b w:val="0"/>
          <w:i w:val="0"/>
          <w:sz w:val="24"/>
        </w:rPr>
        <w:t>bs lies below the standard PIM stock K</w:t>
      </w:r>
      <w:r>
        <w:rPr>
          <w:rFonts w:ascii="Times New Roman" w:hAnsi="Times New Roman" w:eastAsia="MS Mincho"/>
          <w:b w:val="0"/>
          <w:i/>
          <w:sz w:val="24"/>
          <w:vertAlign w:val="subscript"/>
        </w:rPr>
        <w:t>M</w:t>
      </w:r>
      <w:r>
        <w:rPr>
          <w:rFonts w:ascii="Times New Roman" w:hAnsi="Times New Roman" w:eastAsia="MS Mincho"/>
          <w:b w:val="0"/>
          <w:i w:val="0"/>
          <w:sz w:val="24"/>
        </w:rPr>
        <w:t>0, and the gap widens over time as investment composition shifts toward longer-gestation assets. This is the direct measurement consequence: the PIM counts investment as productive before it has completed gestation, overstating the capital stock. The direction is unambiguous: all 35 countries show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val="0"/>
          <w:i w:val="0"/>
          <w:sz w:val="24"/>
        </w:rPr>
        <w:t>Table 5 and the right panel of Figure 10 quantify the cross-country distribution. Over 2010–2019, the median K-level gap is −4.3 % (IQR: −5.3 % to −3.8 %). The five most affected economies — Ireland (−9.2 %), Costa Rica (−7.3 %), Republic of Korea (−7.1 %), Slovakia (−6.7 %), Israel (−6.4 %) — are precisely those with the largest recent shifts toward intellectual-property and ICT investment. The five least affected — Greece (−0.6 %), Japan (−1.2 %), Germany (−1.9 %), Italy (−2.1 %), Portugal (−2.6 %) — are those with more stable investment mixes.</w:t>
      </w:r>
    </w:p>
    <w:p>
      <w:pPr>
        <w:spacing w:before="360" w:after="120"/>
        <w:jc w:val="center"/>
      </w:pPr>
      <w:r>
        <w:drawing>
          <wp:inline xmlns:a="http://schemas.openxmlformats.org/drawingml/2006/main" xmlns:pic="http://schemas.openxmlformats.org/drawingml/2006/picture">
            <wp:extent cx="5669280" cy="4231998"/>
            <wp:docPr id="11" name="Picture 11"/>
            <wp:cNvGraphicFramePr>
              <a:graphicFrameLocks noChangeAspect="1"/>
            </wp:cNvGraphicFramePr>
            <a:graphic>
              <a:graphicData uri="http://schemas.openxmlformats.org/drawingml/2006/picture">
                <pic:pic>
                  <pic:nvPicPr>
                    <pic:cNvPr id="0" name="fig11_tfp_consequence_en.png"/>
                    <pic:cNvPicPr/>
                  </pic:nvPicPr>
                  <pic:blipFill>
                    <a:blip r:embed="rId19"/>
                    <a:stretch>
                      <a:fillRect/>
                    </a:stretch>
                  </pic:blipFill>
                  <pic:spPr>
                    <a:xfrm>
                      <a:off x="0" y="0"/>
                      <a:ext cx="5669280" cy="4231998"/>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Measurement consequence: K-level change vs TFP shift (country means, 2010-2019).</w:t>
      </w:r>
    </w:p>
    <w:p>
      <w:pPr>
        <w:spacing w:after="120" w:line="360" w:lineRule="auto"/>
        <w:ind w:firstLine="480"/>
      </w:pPr>
      <w:r>
        <w:rPr>
          <w:rFonts w:ascii="Times New Roman" w:hAnsi="Times New Roman" w:eastAsia="MS Mincho"/>
          <w:b w:val="0"/>
          <w:i/>
          <w:sz w:val="24"/>
        </w:rPr>
        <w:t>TFP consequences.</w:t>
      </w:r>
      <w:r>
        <w:rPr>
          <w:rFonts w:ascii="Times New Roman" w:hAnsi="Times New Roman" w:eastAsia="MS Mincho"/>
          <w:b w:val="0"/>
          <w:i w:val="0"/>
          <w:sz w:val="24"/>
        </w:rPr>
        <w:t xml:space="preserve"> Because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bs − (1−</w:t>
      </w:r>
      <w:r>
        <w:rPr>
          <w:rFonts w:ascii="Times New Roman" w:hAnsi="Times New Roman" w:eastAsia="MS Mincho"/>
          <w:b w:val="0"/>
          <w:i/>
          <w:sz w:val="24"/>
        </w:rPr>
        <w:t>α</w:t>
      </w:r>
      <w:r>
        <w:rPr>
          <w:rFonts w:ascii="Times New Roman" w:hAnsi="Times New Roman" w:eastAsia="MS Mincho"/>
          <w:b w:val="0"/>
          <w:i w:val="0"/>
          <w:sz w:val="24"/>
        </w:rPr>
        <w:t>) log LH and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 it follows that TFP</w:t>
      </w:r>
      <w:r>
        <w:rPr>
          <w:rFonts w:ascii="Times New Roman" w:hAnsi="Times New Roman" w:eastAsia="MS Mincho"/>
          <w:b w:val="0"/>
          <w:i/>
          <w:sz w:val="24"/>
          <w:vertAlign w:val="subscript"/>
        </w:rPr>
        <w:t>o</w:t>
      </w:r>
      <w:r>
        <w:rPr>
          <w:rFonts w:ascii="Times New Roman" w:hAnsi="Times New Roman" w:eastAsia="MS Mincho"/>
          <w:b w:val="0"/>
          <w:i w:val="0"/>
          <w:sz w:val="24"/>
        </w:rPr>
        <w:t>bs &gt; TFP</w:t>
      </w:r>
      <w:r>
        <w:rPr>
          <w:rFonts w:ascii="Times New Roman" w:hAnsi="Times New Roman" w:eastAsia="MS Mincho"/>
          <w:b w:val="0"/>
          <w:i/>
          <w:sz w:val="24"/>
          <w:vertAlign w:val="subscript"/>
        </w:rPr>
        <w:t>M</w:t>
      </w:r>
      <w:r>
        <w:rPr>
          <w:rFonts w:ascii="Times New Roman" w:hAnsi="Times New Roman" w:eastAsia="MS Mincho"/>
          <w:b w:val="0"/>
          <w:i w:val="0"/>
          <w:sz w:val="24"/>
        </w:rPr>
        <w:t xml:space="preserve">0: the standard PIM </w:t>
      </w:r>
      <w:r>
        <w:rPr>
          <w:rFonts w:ascii="Times New Roman" w:hAnsi="Times New Roman" w:eastAsia="MS Mincho"/>
          <w:b w:val="0"/>
          <w:i/>
          <w:sz w:val="24"/>
        </w:rPr>
        <w:t>understates</w:t>
      </w:r>
      <w:r>
        <w:rPr>
          <w:rFonts w:ascii="Times New Roman" w:hAnsi="Times New Roman" w:eastAsia="MS Mincho"/>
          <w:b w:val="0"/>
          <w:i w:val="0"/>
          <w:sz w:val="24"/>
        </w:rPr>
        <w:t xml:space="preserve"> TFP by absorbing productive capacity into an inflated capital measure. The median TFP shift is −1.7 percentage points (Figure 11), with a tight cross-country relationship between </w:t>
      </w:r>
      <w:r>
        <w:rPr>
          <w:rFonts w:ascii="Times New Roman" w:hAnsi="Times New Roman" w:eastAsia="MS Mincho"/>
          <w:b w:val="0"/>
          <w:i/>
          <w:sz w:val="24"/>
        </w:rPr>
        <w:t>Δ</w:t>
      </w:r>
      <w:r>
        <w:rPr>
          <w:rFonts w:ascii="Times New Roman" w:hAnsi="Times New Roman" w:eastAsia="MS Mincho"/>
          <w:b w:val="0"/>
          <w:i w:val="0"/>
          <w:sz w:val="24"/>
        </w:rPr>
        <w:t xml:space="preserve">K and </w:t>
      </w:r>
      <w:r>
        <w:rPr>
          <w:rFonts w:ascii="Times New Roman" w:hAnsi="Times New Roman" w:eastAsia="MS Mincho"/>
          <w:b w:val="0"/>
          <w:i/>
          <w:sz w:val="24"/>
        </w:rPr>
        <w:t>Δ</w:t>
      </w:r>
      <w:r>
        <w:rPr>
          <w:rFonts w:ascii="Times New Roman" w:hAnsi="Times New Roman" w:eastAsia="MS Mincho"/>
          <w:b w:val="0"/>
          <w:i w:val="0"/>
          <w:sz w:val="24"/>
        </w:rPr>
        <w:t>TFP (slope ≈ −</w:t>
      </w:r>
      <w:r>
        <w:rPr>
          <w:rFonts w:ascii="Times New Roman" w:hAnsi="Times New Roman" w:eastAsia="MS Mincho"/>
          <w:b w:val="0"/>
          <w:i/>
          <w:sz w:val="24"/>
        </w:rPr>
        <w:t>α</w:t>
      </w:r>
      <w:r>
        <w:rPr>
          <w:rFonts w:ascii="Times New Roman" w:hAnsi="Times New Roman" w:eastAsia="MS Mincho"/>
          <w:b w:val="0"/>
          <w:i w:val="0"/>
          <w:sz w:val="24"/>
        </w:rPr>
        <w:t>). For Ireland the shift reaches −4.6 pp, meaning that nearly five percentage points of what the conventional Solow residual attributes to capital deepening is actually a tempo artefact.</w:t>
      </w:r>
    </w:p>
    <w:p>
      <w:pPr>
        <w:spacing w:before="360" w:after="120"/>
        <w:jc w:val="center"/>
      </w:pPr>
      <w:r>
        <w:drawing>
          <wp:inline xmlns:a="http://schemas.openxmlformats.org/drawingml/2006/main" xmlns:pic="http://schemas.openxmlformats.org/drawingml/2006/picture">
            <wp:extent cx="5669280" cy="2332852"/>
            <wp:docPr id="12" name="Picture 12"/>
            <wp:cNvGraphicFramePr>
              <a:graphicFrameLocks noChangeAspect="1"/>
            </wp:cNvGraphicFramePr>
            <a:graphic>
              <a:graphicData uri="http://schemas.openxmlformats.org/drawingml/2006/picture">
                <pic:pic>
                  <pic:nvPicPr>
                    <pic:cNvPr id="0" name="fig12_labor_share_en.png"/>
                    <pic:cNvPicPr/>
                  </pic:nvPicPr>
                  <pic:blipFill>
                    <a:blip r:embed="rId20"/>
                    <a:stretch>
                      <a:fillRect/>
                    </a:stretch>
                  </pic:blipFill>
                  <pic:spPr>
                    <a:xfrm>
                      <a:off x="0" y="0"/>
                      <a:ext cx="5669280" cy="2332852"/>
                    </a:xfrm>
                    <a:prstGeom prst="rect"/>
                  </pic:spPr>
                </pic:pic>
              </a:graphicData>
            </a:graphic>
          </wp:inline>
        </w:drawing>
      </w:r>
    </w:p>
    <w:p>
      <w:pPr>
        <w:spacing w:after="240"/>
        <w:jc w:val="center"/>
      </w:pPr>
      <w:r>
        <w:rPr>
          <w:rFonts w:ascii="Times New Roman" w:hAnsi="Times New Roman" w:eastAsia="MS Mincho"/>
          <w:b/>
          <w:i w:val="0"/>
          <w:sz w:val="20"/>
        </w:rPr>
        <w:t xml:space="preserve">Fig. 12. </w:t>
      </w:r>
      <w:r>
        <w:rPr>
          <w:rFonts w:ascii="Times New Roman" w:hAnsi="Times New Roman" w:eastAsia="MS Mincho"/>
          <w:b w:val="0"/>
          <w:i w:val="0"/>
          <w:sz w:val="20"/>
        </w:rPr>
        <w:t>Implied labour-share correction from tempo-adjusted capital (country means, 2010-2019).</w:t>
      </w:r>
    </w:p>
    <w:p>
      <w:pPr>
        <w:spacing w:after="120" w:line="360" w:lineRule="auto"/>
        <w:ind w:firstLine="480"/>
      </w:pPr>
      <w:r>
        <w:rPr>
          <w:rFonts w:ascii="Times New Roman" w:hAnsi="Times New Roman" w:eastAsia="MS Mincho"/>
          <w:b w:val="0"/>
          <w:i/>
          <w:sz w:val="24"/>
        </w:rPr>
        <w:t>Labour-share consequences.</w:t>
      </w:r>
      <w:r>
        <w:rPr>
          <w:rFonts w:ascii="Times New Roman" w:hAnsi="Times New Roman" w:eastAsia="MS Mincho"/>
          <w:b w:val="0"/>
          <w:i w:val="0"/>
          <w:sz w:val="24"/>
        </w:rPr>
        <w:t xml:space="preserve"> If the capital stock is overstated, the capital contribution </w:t>
      </w:r>
      <w:r>
        <w:rPr>
          <w:rFonts w:ascii="Times New Roman" w:hAnsi="Times New Roman" w:eastAsia="MS Mincho"/>
          <w:b w:val="0"/>
          <w:i/>
          <w:sz w:val="24"/>
        </w:rPr>
        <w:t>α</w:t>
      </w:r>
      <w:r>
        <w:rPr>
          <w:rFonts w:ascii="Times New Roman" w:hAnsi="Times New Roman" w:eastAsia="MS Mincho"/>
          <w:b w:val="0"/>
          <w:i w:val="0"/>
          <w:sz w:val="24"/>
        </w:rPr>
        <w:t xml:space="preserve"> log K absorbs variation that should be attributed to labour or TFP, mechanically depressing the residual labour share. Correcting K downward by </w:t>
      </w:r>
      <w:r>
        <w:rPr>
          <w:rFonts w:ascii="Times New Roman" w:hAnsi="Times New Roman" w:eastAsia="MS Mincho"/>
          <w:b w:val="0"/>
          <w:i/>
          <w:sz w:val="24"/>
        </w:rPr>
        <w:t>δ</w:t>
      </w:r>
      <w:r>
        <w:rPr>
          <w:rFonts w:ascii="Times New Roman" w:hAnsi="Times New Roman" w:eastAsia="MS Mincho"/>
          <w:b w:val="0"/>
          <w:i w:val="0"/>
          <w:sz w:val="24"/>
        </w:rPr>
        <w:t xml:space="preserve"> log K shifts the implied labour share upward by approximately </w:t>
      </w:r>
      <w:r>
        <w:rPr>
          <w:rFonts w:ascii="Times New Roman" w:hAnsi="Times New Roman" w:eastAsia="MS Mincho"/>
          <w:b w:val="0"/>
          <w:i/>
          <w:sz w:val="24"/>
        </w:rPr>
        <w:t>α</w:t>
      </w:r>
      <w:r>
        <w:rPr>
          <w:rFonts w:ascii="Times New Roman" w:hAnsi="Times New Roman" w:eastAsia="MS Mincho"/>
          <w:b w:val="0"/>
          <w:i w:val="0"/>
          <w:sz w:val="24"/>
        </w:rPr>
        <w:t xml:space="preserve"> × |</w:t>
      </w:r>
      <w:r>
        <w:rPr>
          <w:rFonts w:ascii="Times New Roman" w:hAnsi="Times New Roman" w:eastAsia="MS Mincho"/>
          <w:b w:val="0"/>
          <w:i/>
          <w:sz w:val="24"/>
        </w:rPr>
        <w:t>δ</w:t>
      </w:r>
      <w:r>
        <w:rPr>
          <w:rFonts w:ascii="Times New Roman" w:hAnsi="Times New Roman" w:eastAsia="MS Mincho"/>
          <w:b w:val="0"/>
          <w:i w:val="0"/>
          <w:sz w:val="24"/>
        </w:rPr>
        <w:t xml:space="preserve"> log K| percentage points. The median upward shift is 1.7 pp (IQR: 1.4–2.7 pp; Figure 12). For the Republic of Korea the shift is 3.1 pp, for Israel 2.8 pp. These are economically meaningful magnitudes in the context of the declining-labour-share debate (Karabarbounis and Neiman, 2014): a portion of the measured decline in labour shares may reflect not a genuine shift of income from labour to capital but a measurement artefact arising from the failure to account for investment gestation lags. This finding reframes the declining-labour-share puzzle: part of the documented secular fall in labour shares across advanced economies may simply be an artefact of treating long-gestation investment as if it were instantly productive.</w:t>
      </w:r>
    </w:p>
    <w:p>
      <w:pPr>
        <w:spacing w:after="120" w:line="360" w:lineRule="auto"/>
        <w:ind w:firstLine="480"/>
      </w:pPr>
      <w:r>
        <w:rPr>
          <w:rFonts w:ascii="Times New Roman" w:hAnsi="Times New Roman" w:eastAsia="MS Mincho"/>
          <w:b w:val="0"/>
          <w:i/>
          <w:sz w:val="24"/>
        </w:rPr>
        <w:t>Investment composition and the business cycle.</w:t>
      </w:r>
      <w:r>
        <w:rPr>
          <w:rFonts w:ascii="Times New Roman" w:hAnsi="Times New Roman" w:eastAsia="MS Mincho"/>
          <w:b w:val="0"/>
          <w:i w:val="0"/>
          <w:sz w:val="24"/>
        </w:rPr>
        <w:t xml:space="preserve"> The K-level gap is not constant over time but co-moves with the investment cycle. During expansions, firms undertake more complex, long-gestation projects (software platforms, R&amp;D programmes, infrastructure); during contractions, investment retreats to short-lead maintenance and replacement. The observable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therefore rises in booms and falls in recessions, amplifying the tempo effect procyclically. This means the standard PIM systematically </w:t>
      </w:r>
      <w:r>
        <w:rPr>
          <w:rFonts w:ascii="Times New Roman" w:hAnsi="Times New Roman" w:eastAsia="MS Mincho"/>
          <w:b w:val="0"/>
          <w:i/>
          <w:sz w:val="24"/>
        </w:rPr>
        <w:t>overstates</w:t>
      </w:r>
      <w:r>
        <w:rPr>
          <w:rFonts w:ascii="Times New Roman" w:hAnsi="Times New Roman" w:eastAsia="MS Mincho"/>
          <w:b w:val="0"/>
          <w:i w:val="0"/>
          <w:sz w:val="24"/>
        </w:rPr>
        <w:t xml:space="preserve"> the capital stock in booms (when long-gestation investment is being counted before completion) and </w:t>
      </w:r>
      <w:r>
        <w:rPr>
          <w:rFonts w:ascii="Times New Roman" w:hAnsi="Times New Roman" w:eastAsia="MS Mincho"/>
          <w:b w:val="0"/>
          <w:i/>
          <w:sz w:val="24"/>
        </w:rPr>
        <w:t>understates</w:t>
      </w:r>
      <w:r>
        <w:rPr>
          <w:rFonts w:ascii="Times New Roman" w:hAnsi="Times New Roman" w:eastAsia="MS Mincho"/>
          <w:b w:val="0"/>
          <w:i w:val="0"/>
          <w:sz w:val="24"/>
        </w:rPr>
        <w:t xml:space="preserve"> it in troughs (when the pipeline empties but past projects are completing). The procyclical bias in measured K translates to a countercyclical bias in measured TFP: TFP appears lower in booms and higher in recessions than it should, which may explain part of the well-documented countercyclicality of the Solow residual.</w:t>
      </w:r>
    </w:p>
    <w:p>
      <w:pPr>
        <w:spacing w:before="360" w:after="120" w:line="360" w:lineRule="auto"/>
      </w:pPr>
      <w:r>
        <w:rPr>
          <w:rFonts w:ascii="Times New Roman" w:hAnsi="Times New Roman" w:eastAsia="MS Mincho"/>
          <w:b/>
          <w:i w:val="0"/>
          <w:sz w:val="24"/>
        </w:rPr>
        <w:t>5.11 Solow-residual historical decomposition</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3" name="Picture 13"/>
            <wp:cNvGraphicFramePr>
              <a:graphicFrameLocks noChangeAspect="1"/>
            </wp:cNvGraphicFramePr>
            <a:graphic>
              <a:graphicData uri="http://schemas.openxmlformats.org/drawingml/2006/picture">
                <pic:pic>
                  <pic:nvPicPr>
                    <pic:cNvPr id="0" name="fig13_solow_decomp_en.png"/>
                    <pic:cNvPicPr/>
                  </pic:nvPicPr>
                  <pic:blipFill>
                    <a:blip r:embed="rId21"/>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13.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4"/>
        </w:rPr>
        <w:t xml:space="preserve">The TFP variance decomposition complements the level analysis of Sect. 5.10. 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Under M</w:t>
      </w:r>
      <w:r>
        <w:rPr>
          <w:rFonts w:ascii="Times New Roman" w:hAnsi="Times New Roman" w:eastAsia="MS Mincho"/>
          <w:b w:val="0"/>
          <w:i/>
          <w:sz w:val="24"/>
          <w:vertAlign w:val="subscript"/>
        </w:rPr>
        <w:t>o</w:t>
      </w:r>
      <w:r>
        <w:rPr>
          <w:rFonts w:ascii="Times New Roman" w:hAnsi="Times New Roman" w:eastAsia="MS Mincho"/>
          <w:b w:val="0"/>
          <w:i w:val="0"/>
          <w:sz w:val="24"/>
        </w:rPr>
        <w:t>bs the residual is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(1 − </w:t>
      </w:r>
      <w:r>
        <w:rPr>
          <w:rFonts w:ascii="Times New Roman" w:hAnsi="Times New Roman" w:eastAsia="MS Mincho"/>
          <w:b w:val="0"/>
          <w:i/>
          <w:sz w:val="24"/>
        </w:rPr>
        <w:t>α</w:t>
      </w:r>
      <w:r>
        <w:rPr>
          <w:rFonts w:ascii="Times New Roman" w:hAnsi="Times New Roman" w:eastAsia="MS Mincho"/>
          <w:b w:val="0"/>
          <w:i w:val="0"/>
          <w:sz w:val="24"/>
        </w:rPr>
        <w:t>) log LH, where K</w:t>
      </w:r>
      <w:r>
        <w:rPr>
          <w:rFonts w:ascii="Times New Roman" w:hAnsi="Times New Roman" w:eastAsia="MS Mincho"/>
          <w:b w:val="0"/>
          <w:i/>
          <w:sz w:val="24"/>
          <w:vertAlign w:val="subscript"/>
        </w:rPr>
        <w:t>o</w:t>
      </w:r>
      <w:r>
        <w:rPr>
          <w:rFonts w:ascii="Times New Roman" w:hAnsi="Times New Roman" w:eastAsia="MS Mincho"/>
          <w:b w:val="0"/>
          <w:i w:val="0"/>
          <w:sz w:val="24"/>
        </w:rPr>
        <w:t>bs is the observable-tempo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or Var(</w:t>
      </w:r>
      <w:r>
        <w:rPr>
          <w:rFonts w:ascii="Times New Roman" w:hAnsi="Times New Roman" w:eastAsia="MS Mincho"/>
          <w:b w:val="0"/>
          <w:i/>
          <w:sz w:val="24"/>
        </w:rPr>
        <w:t>Δ</w:t>
      </w:r>
      <w:r>
        <w:rPr>
          <w:rFonts w:ascii="Times New Roman" w:hAnsi="Times New Roman" w:eastAsia="MS Mincho"/>
          <w:b w:val="0"/>
          <w:i w:val="0"/>
          <w:sz w:val="24"/>
        </w:rPr>
        <w:t xml:space="preserve">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measures how much TFP-growth variation is absorbed by the time-to-build correction. Across the 35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360" w:lineRule="auto"/>
        <w:ind w:firstLine="480"/>
      </w:pPr>
      <w:r>
        <w:rPr>
          <w:rFonts w:ascii="Times New Roman" w:hAnsi="Times New Roman" w:eastAsia="MS Mincho"/>
          <w:b w:val="0"/>
          <w:i w:val="0"/>
          <w:sz w:val="24"/>
        </w:rPr>
        <w:t xml:space="preserve">Figure 13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xml:space="preserve">̂ = 0.34 estimated for France (Table 2). The key finding is that these are not merely forecasting improvements: they represent genuine changes in </w:t>
      </w:r>
      <w:r>
        <w:rPr>
          <w:rFonts w:ascii="Times New Roman" w:hAnsi="Times New Roman" w:eastAsia="MS Mincho"/>
          <w:b w:val="0"/>
          <w:i/>
          <w:sz w:val="24"/>
        </w:rPr>
        <w:t>how much of output growth is attributed to capital versus productivity</w:t>
      </w:r>
      <w:r>
        <w:rPr>
          <w:rFonts w:ascii="Times New Roman" w:hAnsi="Times New Roman" w:eastAsia="MS Mincho"/>
          <w:b w:val="0"/>
          <w:i w:val="0"/>
          <w:sz w:val="24"/>
        </w:rPr>
        <w:t>.</w:t>
      </w:r>
    </w:p>
    <w:p>
      <w:pPr>
        <w:spacing w:before="360" w:after="120" w:line="360" w:lineRule="auto"/>
      </w:pPr>
      <w:r>
        <w:rPr>
          <w:rFonts w:ascii="Times New Roman" w:hAnsi="Times New Roman" w:eastAsia="MS Mincho"/>
          <w:b/>
          <w:i w:val="0"/>
          <w:sz w:val="24"/>
        </w:rPr>
        <w:t>5.12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4" name="Picture 14"/>
            <wp:cNvGraphicFramePr>
              <a:graphicFrameLocks noChangeAspect="1"/>
            </wp:cNvGraphicFramePr>
            <a:graphic>
              <a:graphicData uri="http://schemas.openxmlformats.org/drawingml/2006/picture">
                <pic:pic>
                  <pic:nvPicPr>
                    <pic:cNvPr id="0" name="fig14_counterfactual_wealth_en.png"/>
                    <pic:cNvPicPr/>
                  </pic:nvPicPr>
                  <pic:blipFill>
                    <a:blip r:embed="rId22"/>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14.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360" w:lineRule="auto"/>
        <w:ind w:firstLine="480"/>
      </w:pPr>
      <w:r>
        <w:rPr>
          <w:rFonts w:ascii="Times New Roman" w:hAnsi="Times New Roman" w:eastAsia="MS Mincho"/>
          <w:b w:val="0"/>
          <w:i w:val="0"/>
          <w:sz w:val="24"/>
        </w:rPr>
        <w:t xml:space="preserve">Figure 14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36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pPr>
      <w:r>
        <w:rPr>
          <w:rFonts w:ascii="Times New Roman" w:hAnsi="Times New Roman" w:eastAsia="MS Mincho"/>
          <w:b/>
          <w:i w:val="0"/>
          <w:sz w:val="28"/>
        </w:rPr>
        <w:t>6 Discussion and policy implications</w:t>
      </w:r>
    </w:p>
    <w:p>
      <w:pPr>
        <w:spacing w:after="120" w:line="360" w:lineRule="auto"/>
        <w:ind w:firstLine="480"/>
      </w:pPr>
      <w:r>
        <w:rPr>
          <w:rFonts w:ascii="Times New Roman" w:hAnsi="Times New Roman" w:eastAsia="MS Mincho"/>
          <w:b w:val="0"/>
          <w:i w:val="0"/>
          <w:sz w:val="24"/>
        </w:rPr>
        <w:t>The tempo drift and intangible corrections developed above have direct implications for macroeconomic policy, statistical practice, and the broader measurement agenda. We organise the discussion around five themes.</w:t>
      </w:r>
    </w:p>
    <w:p>
      <w:pPr>
        <w:spacing w:before="360" w:after="120" w:line="360" w:lineRule="auto"/>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4"/>
        </w:rPr>
        <w:t xml:space="preserve">The K-level analysis of Sect. 5.10 and the historical decomposition of Sect. 5.11 put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35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360" w:lineRule="auto"/>
      </w:pPr>
      <w:r>
        <w:rPr>
          <w:rFonts w:ascii="Times New Roman" w:hAnsi="Times New Roman" w:eastAsia="MS Mincho"/>
          <w:b/>
          <w:i w:val="0"/>
          <w:sz w:val="24"/>
        </w:rPr>
        <w:t>6.2 The Bongaarts-Feeney-Goldstein-Lutz-Scherbov analogy</w:t>
      </w:r>
    </w:p>
    <w:p>
      <w:pPr>
        <w:spacing w:after="120" w:line="360" w:lineRule="auto"/>
        <w:ind w:firstLine="480"/>
      </w:pPr>
      <w:r>
        <w:rPr>
          <w:rFonts w:ascii="Times New Roman" w:hAnsi="Times New Roman" w:eastAsia="MS Mincho"/>
          <w:b w:val="0"/>
          <w:i w:val="0"/>
          <w:sz w:val="24"/>
        </w:rPr>
        <w:t>Table 1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480"/>
      </w:pPr>
      <w:r>
        <w:rPr>
          <w:rFonts w:ascii="Times New Roman" w:hAnsi="Times New Roman" w:eastAsia="MS Mincho"/>
          <w:b w:val="0"/>
          <w:i w:val="0"/>
          <w:sz w:val="24"/>
        </w:rPr>
        <w:t xml:space="preserve">At the most conservative level, the results of Sect. 5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360" w:lineRule="auto"/>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4"/>
        </w:rPr>
        <w:t xml:space="preserve">A natural objection is that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may not be separately identified from the production-side data alone: a higher lag </w:t>
      </w:r>
      <w:r>
        <w:rPr>
          <w:rFonts w:ascii="Times New Roman" w:hAnsi="Times New Roman" w:eastAsia="MS Mincho"/>
          <w:b w:val="0"/>
          <w:i/>
          <w:sz w:val="24"/>
        </w:rPr>
        <w:t>μ</w:t>
      </w:r>
      <w:r>
        <w:rPr>
          <w:rFonts w:ascii="Times New Roman" w:hAnsi="Times New Roman" w:eastAsia="MS Mincho"/>
          <w:b w:val="0"/>
          <w:i w:val="0"/>
          <w:sz w:val="24"/>
        </w:rPr>
        <w:t xml:space="preserve"> slows measured capital accumulation in much the same way as a lower intangible share </w:t>
      </w:r>
      <w:r>
        <w:rPr>
          <w:rFonts w:ascii="Times New Roman" w:hAnsi="Times New Roman" w:eastAsia="MS Mincho"/>
          <w:b w:val="0"/>
          <w:i/>
          <w:sz w:val="24"/>
        </w:rPr>
        <w:t>β</w:t>
      </w:r>
      <w:r>
        <w:rPr>
          <w:rFonts w:ascii="Times New Roman" w:hAnsi="Times New Roman" w:eastAsia="MS Mincho"/>
          <w:b w:val="0"/>
          <w:i w:val="0"/>
          <w:sz w:val="24"/>
        </w:rPr>
        <w:t>. Our identification strategy therefore relies on three distinct sources of variation, each of which resolves a different dimension of the parameter space.</w:t>
      </w:r>
    </w:p>
    <w:p>
      <w:pPr>
        <w:spacing w:after="120" w:line="360" w:lineRule="auto"/>
        <w:ind w:firstLine="480"/>
      </w:pPr>
      <w:r>
        <w:rPr>
          <w:rFonts w:ascii="Times New Roman" w:hAnsi="Times New Roman" w:eastAsia="MS Mincho"/>
          <w:b w:val="0"/>
          <w:i/>
          <w:sz w:val="24"/>
        </w:rPr>
        <w:t>First, the wealth-side constraint.</w:t>
      </w:r>
      <w:r>
        <w:rPr>
          <w:rFonts w:ascii="Times New Roman" w:hAnsi="Times New Roman" w:eastAsia="MS Mincho"/>
          <w:b w:val="0"/>
          <w:i w:val="0"/>
          <w:sz w:val="24"/>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as a broad ridge for most countries; adding the wealth constraint collapses the ridge to a point for 28 of 39 countries at 5 %. The collapse is itself a testable implication: if the wealth data were uninformative, the joint and production-only posteriors would coincide.</w:t>
      </w:r>
    </w:p>
    <w:p>
      <w:pPr>
        <w:spacing w:after="120" w:line="360" w:lineRule="auto"/>
        <w:ind w:firstLine="480"/>
      </w:pPr>
      <w:r>
        <w:rPr>
          <w:rFonts w:ascii="Times New Roman" w:hAnsi="Times New Roman" w:eastAsia="MS Mincho"/>
          <w:b w:val="0"/>
          <w:i/>
          <w:sz w:val="24"/>
        </w:rPr>
        <w:t>Second, cross-country heterogeneity in asset composition.</w:t>
      </w:r>
      <w:r>
        <w:rPr>
          <w:rFonts w:ascii="Times New Roman" w:hAnsi="Times New Roman" w:eastAsia="MS Mincho"/>
          <w:b w:val="0"/>
          <w:i w:val="0"/>
          <w:sz w:val="24"/>
        </w:rPr>
        <w:t xml:space="preserve"> Countries with systematically different R&amp;D intensities trace out different regions of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space. The positive gradient of </w:t>
      </w:r>
      <w:r>
        <w:rPr>
          <w:rFonts w:ascii="Times New Roman" w:hAnsi="Times New Roman" w:eastAsia="MS Mincho"/>
          <w:b w:val="0"/>
          <w:i/>
          <w:sz w:val="24"/>
        </w:rPr>
        <w:t>ρ</w:t>
      </w:r>
      <w:r>
        <w:rPr>
          <w:rFonts w:ascii="Times New Roman" w:hAnsi="Times New Roman" w:eastAsia="MS Mincho"/>
          <w:b w:val="0"/>
          <w:i w:val="0"/>
          <w:sz w:val="24"/>
        </w:rPr>
        <w:t xml:space="preserve">̂₂ on R&amp;D intensity reported in Sect. 5.9 (slope = 0.068, t = 2.34 under M4) is consistent with the interpretation that </w:t>
      </w:r>
      <w:r>
        <w:rPr>
          <w:rFonts w:ascii="Times New Roman" w:hAnsi="Times New Roman" w:eastAsia="MS Mincho"/>
          <w:b w:val="0"/>
          <w:i/>
          <w:sz w:val="24"/>
        </w:rPr>
        <w:t>β</w:t>
      </w:r>
      <w:r>
        <w:rPr>
          <w:rFonts w:ascii="Times New Roman" w:hAnsi="Times New Roman" w:eastAsia="MS Mincho"/>
          <w:b w:val="0"/>
          <w:i w:val="0"/>
          <w:sz w:val="24"/>
        </w:rPr>
        <w:t xml:space="preserve"> captures a component correlated with — but not mechanically determined by — observable R&amp;D spending. If </w:t>
      </w:r>
      <w:r>
        <w:rPr>
          <w:rFonts w:ascii="Times New Roman" w:hAnsi="Times New Roman" w:eastAsia="MS Mincho"/>
          <w:b w:val="0"/>
          <w:i/>
          <w:sz w:val="24"/>
        </w:rPr>
        <w:t>β</w:t>
      </w:r>
      <w:r>
        <w:rPr>
          <w:rFonts w:ascii="Times New Roman" w:hAnsi="Times New Roman" w:eastAsia="MS Mincho"/>
          <w:b w:val="0"/>
          <w:i w:val="0"/>
          <w:sz w:val="24"/>
        </w:rPr>
        <w:t xml:space="preserve"> were merely absorbing production-side noise unrelated to intangibles, there would be no reason for the cross-sectional gradient to steepen under M4 relative to M0.</w:t>
      </w:r>
    </w:p>
    <w:p>
      <w:pPr>
        <w:spacing w:after="120" w:line="360" w:lineRule="auto"/>
        <w:ind w:firstLine="480"/>
      </w:pPr>
      <w:r>
        <w:rPr>
          <w:rFonts w:ascii="Times New Roman" w:hAnsi="Times New Roman" w:eastAsia="MS Mincho"/>
          <w:b w:val="0"/>
          <w:i/>
          <w:sz w:val="24"/>
        </w:rPr>
        <w:t>Third, the depreciation-sensitivity check.</w:t>
      </w:r>
      <w:r>
        <w:rPr>
          <w:rFonts w:ascii="Times New Roman" w:hAnsi="Times New Roman" w:eastAsia="MS Mincho"/>
          <w:b w:val="0"/>
          <w:i w:val="0"/>
          <w:sz w:val="24"/>
        </w:rPr>
        <w:t xml:space="preserve"> The </w:t>
      </w:r>
      <w:r>
        <w:rPr>
          <w:rFonts w:ascii="Times New Roman" w:hAnsi="Times New Roman" w:eastAsia="MS Mincho"/>
          <w:b w:val="0"/>
          <w:i/>
          <w:sz w:val="24"/>
        </w:rPr>
        <w:t>δ</w:t>
      </w:r>
      <w:r>
        <w:rPr>
          <w:rFonts w:ascii="Times New Roman" w:hAnsi="Times New Roman" w:eastAsia="MS Mincho"/>
          <w:b w:val="0"/>
          <w:i w:val="0"/>
          <w:sz w:val="24"/>
        </w:rPr>
        <w:t xml:space="preserve">-perturbation experiment in Sect. 5.6 addresses the concern that a drifting depreciation rate could mimic the tempo effect. The finding that </w:t>
      </w:r>
      <w:r>
        <w:rPr>
          <w:rFonts w:ascii="Times New Roman" w:hAnsi="Times New Roman" w:eastAsia="MS Mincho"/>
          <w:b w:val="0"/>
          <w:i/>
          <w:sz w:val="24"/>
        </w:rPr>
        <w:t>μ</w:t>
      </w:r>
      <w:r>
        <w:rPr>
          <w:rFonts w:ascii="Times New Roman" w:hAnsi="Times New Roman" w:eastAsia="MS Mincho"/>
          <w:b w:val="0"/>
          <w:i w:val="0"/>
          <w:sz w:val="24"/>
        </w:rPr>
        <w:t>̂ is stable to within 6 % of the baseline estimate across a ±20 % depreciation perturbation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4"/>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4"/>
        </w:rPr>
        <w:t>disciplined</w:t>
      </w:r>
      <w:r>
        <w:rPr>
          <w:rFonts w:ascii="Times New Roman" w:hAnsi="Times New Roman" w:eastAsia="MS Mincho"/>
          <w:b w:val="0"/>
          <w:i w:val="0"/>
          <w:sz w:val="24"/>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w:r>
        <w:rPr>
          <w:rFonts w:ascii="Times New Roman" w:hAnsi="Times New Roman" w:eastAsia="MS Mincho"/>
          <w:b w:val="0"/>
          <w:i/>
          <w:sz w:val="24"/>
        </w:rPr>
        <w:t>μ</w:t>
      </w:r>
      <w:r>
        <w:rPr>
          <w:rFonts w:ascii="Times New Roman" w:hAnsi="Times New Roman" w:eastAsia="MS Mincho"/>
          <w:b w:val="0"/>
          <w:i w:val="0"/>
          <w:sz w:val="24"/>
        </w:rPr>
        <w:t xml:space="preserve"> in economies with longer-gestation investment, higher </w:t>
      </w:r>
      <w:r>
        <w:rPr>
          <w:rFonts w:ascii="Times New Roman" w:hAnsi="Times New Roman" w:eastAsia="MS Mincho"/>
          <w:b w:val="0"/>
          <w:i/>
          <w:sz w:val="24"/>
        </w:rPr>
        <w:t>β</w:t>
      </w:r>
      <w:r>
        <w:rPr>
          <w:rFonts w:ascii="Times New Roman" w:hAnsi="Times New Roman" w:eastAsia="MS Mincho"/>
          <w:b w:val="0"/>
          <w:i w:val="0"/>
          <w:sz w:val="24"/>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pPr>
      <w:r>
        <w:rPr>
          <w:rFonts w:ascii="Times New Roman" w:hAnsi="Times New Roman" w:eastAsia="MS Mincho"/>
          <w:b/>
          <w:i w:val="0"/>
          <w:sz w:val="24"/>
        </w:rPr>
        <w:t>6.4 Concrete policy implications</w:t>
      </w:r>
    </w:p>
    <w:p>
      <w:pPr>
        <w:spacing w:after="120" w:line="360" w:lineRule="auto"/>
        <w:ind w:firstLine="480"/>
      </w:pPr>
      <w:r>
        <w:rPr>
          <w:rFonts w:ascii="Times New Roman" w:hAnsi="Times New Roman" w:eastAsia="MS Mincho"/>
          <w:b w:val="0"/>
          <w:i w:val="0"/>
          <w:sz w:val="24"/>
        </w:rPr>
        <w:t>The corrections developed here translate into four actionable recommendations for macroeconomic policy and statistical practice.</w:t>
      </w:r>
    </w:p>
    <w:p>
      <w:pPr>
        <w:spacing w:after="120" w:line="360" w:lineRule="auto"/>
        <w:ind w:firstLine="480"/>
      </w:pPr>
      <w:r>
        <w:rPr>
          <w:rFonts w:ascii="Times New Roman" w:hAnsi="Times New Roman" w:eastAsia="MS Mincho"/>
          <w:b w:val="0"/>
          <w:i/>
          <w:sz w:val="24"/>
        </w:rPr>
        <w:t>Potential output and fiscal rules.</w:t>
      </w:r>
      <w:r>
        <w:rPr>
          <w:rFonts w:ascii="Times New Roman" w:hAnsi="Times New Roman" w:eastAsia="MS Mincho"/>
          <w:b w:val="0"/>
          <w:i w:val="0"/>
          <w:sz w:val="24"/>
        </w:rPr>
        <w:t xml:space="preserve"> Output-gap estimates that feed directly into fiscal-policy rules — the EU's Stability and Growth Pact, the US Congressional Budget Office's potential-GDP series, Japan's Cabinet Office estimates — are computed from production functions that assume </w:t>
      </w:r>
      <w:r>
        <w:rPr>
          <w:rFonts w:ascii="Times New Roman" w:hAnsi="Times New Roman" w:eastAsia="MS Mincho"/>
          <w:b w:val="0"/>
          <w:i/>
          <w:sz w:val="24"/>
        </w:rPr>
        <w:t>μ</w:t>
      </w:r>
      <w:r>
        <w:rPr>
          <w:rFonts w:ascii="Times New Roman" w:hAnsi="Times New Roman" w:eastAsia="MS Mincho"/>
          <w:b w:val="0"/>
          <w:i w:val="0"/>
          <w:sz w:val="24"/>
        </w:rPr>
        <w:t xml:space="preserve"> = 0 and </w:t>
      </w:r>
      <w:r>
        <w:rPr>
          <w:rFonts w:ascii="Times New Roman" w:hAnsi="Times New Roman" w:eastAsia="MS Mincho"/>
          <w:b w:val="0"/>
          <w:i/>
          <w:sz w:val="24"/>
        </w:rPr>
        <w:t>β</w:t>
      </w:r>
      <w:r>
        <w:rPr>
          <w:rFonts w:ascii="Times New Roman" w:hAnsi="Times New Roman" w:eastAsia="MS Mincho"/>
          <w:b w:val="0"/>
          <w:i w:val="0"/>
          <w:sz w:val="24"/>
        </w:rPr>
        <w:t xml:space="preserve"> = 0. If the capital stock is systematically mis-timed, the potential-output estimate inherits the bias, and the fiscal stance calibrated to the resulting output gap is correspondingly distorted. For a country like Sweden (</w:t>
      </w:r>
      <w:r>
        <w:rPr>
          <w:rFonts w:ascii="Times New Roman" w:hAnsi="Times New Roman" w:eastAsia="MS Mincho"/>
          <w:b w:val="0"/>
          <w:i/>
          <w:sz w:val="24"/>
        </w:rPr>
        <w:t>μ</w:t>
      </w:r>
      <w:r>
        <w:rPr>
          <w:rFonts w:ascii="Times New Roman" w:hAnsi="Times New Roman" w:eastAsia="MS Mincho"/>
          <w:b w:val="0"/>
          <w:i w:val="0"/>
          <w:sz w:val="24"/>
        </w:rPr>
        <w:t>̂ ≈ 3.0 years), the PIM capital stock under M0 runs 2–4 years ahead of the tempo-corrected stock, which implies that the conventional output gap overstates the degree of slack during investment booms and understates it during downturns. Governments that tighten fiscal policy in response to an overestimated output gap risk procyclical contraction.</w:t>
      </w:r>
    </w:p>
    <w:p>
      <w:pPr>
        <w:spacing w:after="120" w:line="360" w:lineRule="auto"/>
        <w:ind w:firstLine="480"/>
      </w:pPr>
      <w:r>
        <w:rPr>
          <w:rFonts w:ascii="Times New Roman" w:hAnsi="Times New Roman" w:eastAsia="MS Mincho"/>
          <w:b w:val="0"/>
          <w:i/>
          <w:sz w:val="24"/>
        </w:rPr>
        <w:t>Monetary-policy transmission.</w:t>
      </w:r>
      <w:r>
        <w:rPr>
          <w:rFonts w:ascii="Times New Roman" w:hAnsi="Times New Roman" w:eastAsia="MS Mincho"/>
          <w:b w:val="0"/>
          <w:i w:val="0"/>
          <w:sz w:val="24"/>
        </w:rPr>
        <w:t xml:space="preserve"> The lengthening of monetary-policy transmission lags documented by Havranek and Rusnak (2013) has been attributed to financial deepening and expectation formation. The time-varying </w:t>
      </w:r>
      <w:r>
        <w:rPr>
          <w:rFonts w:ascii="Times New Roman" w:hAnsi="Times New Roman" w:eastAsia="MS Mincho"/>
          <w:b w:val="0"/>
          <w:i/>
          <w:sz w:val="24"/>
        </w:rPr>
        <w:t>μ</w:t>
      </w:r>
      <w:r>
        <w:rPr>
          <w:rFonts w:ascii="Times New Roman" w:hAnsi="Times New Roman" w:eastAsia="MS Mincho"/>
          <w:b w:val="0"/>
          <w:i w:val="0"/>
          <w:sz w:val="24"/>
        </w:rPr>
        <w:t>(t) offers a complementary structural explanation: as the typical investment project takes longer to mature — from factories built in 18 months in the 1970s to software platforms deployed over 3–5 years today — the real-economy response to interest-rate changes is mechanically delayed by the same gestation lag that this paper formalises. Central banks calibrating their forward guidance to historical transmission lags may therefore underestimate the delay with which current rate changes affect output.</w:t>
      </w:r>
    </w:p>
    <w:p>
      <w:pPr>
        <w:spacing w:after="120" w:line="360" w:lineRule="auto"/>
        <w:ind w:firstLine="480"/>
      </w:pPr>
      <w:r>
        <w:rPr>
          <w:rFonts w:ascii="Times New Roman" w:hAnsi="Times New Roman" w:eastAsia="MS Mincho"/>
          <w:b w:val="0"/>
          <w:i/>
          <w:sz w:val="24"/>
        </w:rPr>
        <w:t>Statistical-agency practice.</w:t>
      </w:r>
      <w:r>
        <w:rPr>
          <w:rFonts w:ascii="Times New Roman" w:hAnsi="Times New Roman" w:eastAsia="MS Mincho"/>
          <w:b w:val="0"/>
          <w:i w:val="0"/>
          <w:sz w:val="24"/>
        </w:rPr>
        <w:t xml:space="preserve"> The System of National Accounts (SNA 2008) and its 2025 revision process would benefit from three specific modifications. First, the PIM should report </w:t>
      </w:r>
      <w:r>
        <w:rPr>
          <w:rFonts w:ascii="Times New Roman" w:hAnsi="Times New Roman" w:eastAsia="MS Mincho"/>
          <w:b w:val="0"/>
          <w:i/>
          <w:sz w:val="24"/>
        </w:rPr>
        <w:t>μ</w:t>
      </w:r>
      <w:r>
        <w:rPr>
          <w:rFonts w:ascii="Times New Roman" w:hAnsi="Times New Roman" w:eastAsia="MS Mincho"/>
          <w:b w:val="0"/>
          <w:i w:val="0"/>
          <w:sz w:val="24"/>
        </w:rPr>
        <w:t xml:space="preserve">(t) as a time-varying parameter alongside the depreciation rate </w:t>
      </w:r>
      <w:r>
        <w:rPr>
          <w:rFonts w:ascii="Times New Roman" w:hAnsi="Times New Roman" w:eastAsia="MS Mincho"/>
          <w:b w:val="0"/>
          <w:i/>
          <w:sz w:val="24"/>
        </w:rPr>
        <w:t>δ</w:t>
      </w:r>
      <w:r>
        <w:rPr>
          <w:rFonts w:ascii="Times New Roman" w:hAnsi="Times New Roman" w:eastAsia="MS Mincho"/>
          <w:b w:val="0"/>
          <w:i w:val="0"/>
          <w:sz w:val="24"/>
        </w:rPr>
        <w:t xml:space="preserve">, rather than treating it as a fixed structural constant; the computational cost is negligible (our grid search runs in under one second per country) and the informational gain — knowing whether the capital stock is speeding up or slowing down relative to investment — is substantial. Second, produced-capital aggregates should carry a supplementary </w:t>
      </w:r>
      <w:r>
        <w:rPr>
          <w:rFonts w:ascii="Times New Roman" w:hAnsi="Times New Roman" w:eastAsia="MS Mincho"/>
          <w:b w:val="0"/>
          <w:i/>
          <w:sz w:val="24"/>
        </w:rPr>
        <w:t>β</w:t>
      </w:r>
      <w:r>
        <w:rPr>
          <w:rFonts w:ascii="Times New Roman" w:hAnsi="Times New Roman" w:eastAsia="MS Mincho"/>
          <w:b w:val="0"/>
          <w:i w:val="0"/>
          <w:sz w:val="24"/>
        </w:rPr>
        <w:t xml:space="preserve"> estimate so that users can see the intangible adjustment at a glance. Third, the Relational PIM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developed in Sect. 3.5 can serve as a routine quality-control metric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investigation before its wealth statistics are published.</w:t>
      </w:r>
    </w:p>
    <w:p>
      <w:pPr>
        <w:spacing w:after="120" w:line="360" w:lineRule="auto"/>
        <w:ind w:firstLine="480"/>
      </w:pPr>
      <w:r>
        <w:rPr>
          <w:rFonts w:ascii="Times New Roman" w:hAnsi="Times New Roman" w:eastAsia="MS Mincho"/>
          <w:b w:val="0"/>
          <w:i/>
          <w:sz w:val="24"/>
        </w:rPr>
        <w:t>International GDP comparability.</w:t>
      </w:r>
      <w:r>
        <w:rPr>
          <w:rFonts w:ascii="Times New Roman" w:hAnsi="Times New Roman" w:eastAsia="MS Mincho"/>
          <w:b w:val="0"/>
          <w:i w:val="0"/>
          <w:sz w:val="24"/>
        </w:rPr>
        <w:t xml:space="preserve">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The one-size-fits-all depreciation schedules and zero-lag assumption used to construct PWT capital stocks therefore introduce a systematic comparability problem: countries with longer-gestation investment portfolios (Nordic economies, Republic of Korea) appear to have lower capital and higher TFP relative to countries with shorter-gestation portfolios (United States, United Kingdom). Tempo-correcting the capital stock before computing TFP would improve the comparability of cross-country productivity studies such as Inklaar and Timmer (2013).</w:t>
      </w:r>
    </w:p>
    <w:p>
      <w:pPr>
        <w:spacing w:before="360" w:after="120" w:line="360" w:lineRule="auto"/>
      </w:pPr>
      <w:r>
        <w:rPr>
          <w:rFonts w:ascii="Times New Roman" w:hAnsi="Times New Roman" w:eastAsia="MS Mincho"/>
          <w:b/>
          <w:i w:val="0"/>
          <w:sz w:val="24"/>
        </w:rPr>
        <w:t>6.5 Flow–stock reconciliation and Beyond-GDP</w:t>
      </w:r>
    </w:p>
    <w:p>
      <w:pPr>
        <w:spacing w:after="120" w:line="36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The results here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36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360" w:lineRule="auto"/>
      </w:pPr>
      <w:r>
        <w:rPr>
          <w:rFonts w:ascii="Times New Roman" w:hAnsi="Times New Roman" w:eastAsia="MS Mincho"/>
          <w:b/>
          <w:i w:val="0"/>
          <w:sz w:val="24"/>
        </w:rPr>
        <w:t>6.6 Extensions</w:t>
      </w:r>
    </w:p>
    <w:p>
      <w:pPr>
        <w:spacing w:after="120" w:line="360" w:lineRule="auto"/>
        <w:ind w:firstLine="480"/>
      </w:pPr>
      <w:r>
        <w:rPr>
          <w:rFonts w:ascii="Times New Roman" w:hAnsi="Times New Roman" w:eastAsia="MS Mincho"/>
          <w:b w:val="0"/>
          <w:i w:val="0"/>
          <w:sz w:val="24"/>
        </w:rPr>
        <w:t>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explains an additional share of life-expectancy gaps. More broadly, any stock process whose timing structure drifts — the human-capital stock, the stock of accumulated medical R&amp;D, the stock of climate adaptation capital — admits the same tempo-plus-forgotten-parameter correction. Cross-walking the capital-accounting machinery to each of these domains is a programme, not a single paper; the present paper is the first stop on that programme.</w:t>
      </w:r>
    </w:p>
    <w:p>
      <w:pPr>
        <w:spacing w:before="360" w:after="120" w:line="360" w:lineRule="auto"/>
      </w:pPr>
      <w:r>
        <w:rPr>
          <w:rFonts w:ascii="Times New Roman" w:hAnsi="Times New Roman" w:eastAsia="MS Mincho"/>
          <w:b/>
          <w:i w:val="0"/>
          <w:sz w:val="24"/>
        </w:rPr>
        <w:t>6.7 Limitations</w:t>
      </w:r>
    </w:p>
    <w:p>
      <w:pPr>
        <w:spacing w:after="120" w:line="36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(Sect.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360" w:lineRule="auto"/>
      </w:pPr>
      <w:r>
        <w:rPr>
          <w:rFonts w:ascii="Times New Roman" w:hAnsi="Times New Roman" w:eastAsia="MS Mincho"/>
          <w:b/>
          <w:i w:val="0"/>
          <w:sz w:val="28"/>
        </w:rPr>
        <w:t>7 Conclusion</w:t>
      </w:r>
    </w:p>
    <w:p>
      <w:pPr>
        <w:spacing w:after="120" w:line="36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w:t>
      </w:r>
      <w:r>
        <w:rPr>
          <w:rFonts w:ascii="Times New Roman" w:hAnsi="Times New Roman" w:eastAsia="MS Mincho"/>
          <w:b w:val="0"/>
          <w:i/>
          <w:sz w:val="24"/>
        </w:rPr>
        <w:t>μ</w:t>
      </w:r>
      <w:r>
        <w:rPr>
          <w:rFonts w:ascii="Times New Roman" w:hAnsi="Times New Roman" w:eastAsia="MS Mincho"/>
          <w:b w:val="0"/>
          <w:i w:val="0"/>
          <w:sz w:val="24"/>
        </w:rPr>
        <w:t xml:space="preserve"> is constructed from observable investment composition (M</w:t>
      </w:r>
      <w:r>
        <w:rPr>
          <w:rFonts w:ascii="Times New Roman" w:hAnsi="Times New Roman" w:eastAsia="MS Mincho"/>
          <w:b w:val="0"/>
          <w:i/>
          <w:sz w:val="24"/>
          <w:vertAlign w:val="subscript"/>
        </w:rPr>
        <w:t>o</w:t>
      </w:r>
      <w:r>
        <w:rPr>
          <w:rFonts w:ascii="Times New Roman" w:hAnsi="Times New Roman" w:eastAsia="MS Mincho"/>
          <w:b w:val="0"/>
          <w:i w:val="0"/>
          <w:sz w:val="24"/>
        </w:rPr>
        <w:t>bs), the measured capital stock changes by a median 4.3 %, TFP shifts by 1.7 percentage points, and the implied labour share shifts by 1.7 percentage points — all without any free parameters. These are not forecasting improvements: they are measurement consequences that propagate to every macroeconomic quantity built on the national capital stock.</w:t>
      </w:r>
    </w:p>
    <w:p>
      <w:pPr>
        <w:spacing w:after="120" w:line="360" w:lineRule="auto"/>
        <w:ind w:firstLine="480"/>
      </w:pPr>
      <w:r>
        <w:rPr>
          <w:rFonts w:ascii="Times New Roman" w:hAnsi="Times New Roman" w:eastAsia="MS Mincho"/>
          <w:b w:val="0"/>
          <w:i w:val="0"/>
          <w:sz w:val="24"/>
        </w:rPr>
        <w:t xml:space="preserve">The scale of the measurement consequences deserves a final word of calibration. A 4.3 % change in the capital stock may sound modest, but it implies that the capital contribution to output — </w:t>
      </w:r>
      <w:r>
        <w:rPr>
          <w:rFonts w:ascii="Times New Roman" w:hAnsi="Times New Roman" w:eastAsia="MS Mincho"/>
          <w:b w:val="0"/>
          <w:i/>
          <w:sz w:val="24"/>
        </w:rPr>
        <w:t>α</w:t>
      </w:r>
      <w:r>
        <w:rPr>
          <w:rFonts w:ascii="Times New Roman" w:hAnsi="Times New Roman" w:eastAsia="MS Mincho"/>
          <w:b w:val="0"/>
          <w:i w:val="0"/>
          <w:sz w:val="24"/>
        </w:rPr>
        <w:t xml:space="preserve"> log K in every growth-accounting exercise since Solow (1957) — has been systematically biased for every country that has experienced a shift in investment composition toward long-gestation assets. For the Republic of Korea, the capital stock is overstated by 7.1 %, shifting TFP by 3.1 pp and the implied labour share by 3.1 pp; for Ireland the figures are 9.2 % and 4.6 pp. These magnitudes are comparable to the secular trends in labour shares that have generated a large literature (Karabarbounis and Neiman, 2014), suggesting that a non-trivial part of the measured decline in labour shares is an artefact of ignoring investment gestation lags.</w:t>
      </w:r>
    </w:p>
    <w:p>
      <w:pPr>
        <w:spacing w:after="120" w:line="36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observable M</w:t>
      </w:r>
      <w:r>
        <w:rPr>
          <w:rFonts w:ascii="Times New Roman" w:hAnsi="Times New Roman" w:eastAsia="MS Mincho"/>
          <w:b w:val="0"/>
          <w:i/>
          <w:sz w:val="24"/>
          <w:vertAlign w:val="subscript"/>
        </w:rPr>
        <w:t>o</w:t>
      </w:r>
      <w:r>
        <w:rPr>
          <w:rFonts w:ascii="Times New Roman" w:hAnsi="Times New Roman" w:eastAsia="MS Mincho"/>
          <w:b w:val="0"/>
          <w:i w:val="0"/>
          <w:sz w:val="24"/>
        </w:rPr>
        <w:t>bs construction demonstrates that the composition-driven tempo can be computed at negligible cost from existing OECD asset data.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360" w:lineRule="auto"/>
      </w:pPr>
      <w:r>
        <w:rPr>
          <w:rFonts w:ascii="Times New Roman" w:hAnsi="Times New Roman" w:eastAsia="MS Mincho"/>
          <w:b/>
          <w:i w:val="0"/>
          <w:sz w:val="28"/>
        </w:rPr>
        <w:t>Tables</w:t>
      </w:r>
    </w:p>
    <w:p>
      <w:pPr>
        <w:spacing w:after="120" w:line="36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Capital-level measurement consequences of observable tempo correction (M</w:t>
      </w:r>
      <w:r>
        <w:rPr>
          <w:rFonts w:ascii="Times New Roman" w:hAnsi="Times New Roman" w:eastAsia="MS Mincho"/>
          <w:b w:val="0"/>
          <w:i/>
          <w:sz w:val="24"/>
          <w:vertAlign w:val="subscript"/>
        </w:rPr>
        <w:t>o</w:t>
      </w:r>
      <w:r>
        <w:rPr>
          <w:rFonts w:ascii="Times New Roman" w:hAnsi="Times New Roman" w:eastAsia="MS Mincho"/>
          <w:b w:val="0"/>
          <w:i w:val="0"/>
          <w:sz w:val="24"/>
        </w:rPr>
        <w:t>bs vs M0), 2010–2019 country means: K-level percentage difference, TFP shift (percentage points), and implied labour-share shift (percentage points).</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i w:val="0"/>
          <w:sz w:val="24"/>
        </w:rPr>
        <w:t>Table 6.</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References</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 https://doi.org/10.2307/2526758</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Havranek, T., &amp; Rusnak, M. (2013). Transmission lags of monetary policy: A meta-analysis. </w:t>
      </w:r>
      <w:r>
        <w:rPr>
          <w:rFonts w:ascii="Times New Roman" w:hAnsi="Times New Roman" w:eastAsia="MS Mincho"/>
          <w:b w:val="0"/>
          <w:i/>
          <w:sz w:val="24"/>
        </w:rPr>
        <w:t>International Journal of Central Banking</w:t>
      </w:r>
      <w:r>
        <w:rPr>
          <w:rFonts w:ascii="Times New Roman" w:hAnsi="Times New Roman" w:eastAsia="MS Mincho"/>
          <w:b w:val="0"/>
          <w:i w:val="0"/>
          <w:sz w:val="24"/>
        </w:rPr>
        <w:t xml:space="preserve">, </w:t>
      </w:r>
      <w:r>
        <w:rPr>
          <w:rFonts w:ascii="Times New Roman" w:hAnsi="Times New Roman" w:eastAsia="MS Mincho"/>
          <w:b w:val="0"/>
          <w:i/>
          <w:sz w:val="24"/>
        </w:rPr>
        <w:t>9</w:t>
      </w:r>
      <w:r>
        <w:rPr>
          <w:rFonts w:ascii="Times New Roman" w:hAnsi="Times New Roman" w:eastAsia="MS Mincho"/>
          <w:b w:val="0"/>
          <w:i w:val="0"/>
          <w:sz w:val="24"/>
        </w:rPr>
        <w:t>(4), 39–76.</w:t>
      </w:r>
    </w:p>
    <w:p>
      <w:pPr>
        <w:spacing w:after="120" w:line="360" w:lineRule="auto"/>
        <w:ind w:firstLine="480"/>
      </w:pPr>
      <w:r>
        <w:rPr>
          <w:rFonts w:ascii="Times New Roman" w:hAnsi="Times New Roman" w:eastAsia="MS Mincho"/>
          <w:b w:val="0"/>
          <w:i w:val="0"/>
          <w:sz w:val="24"/>
        </w:rPr>
        <w:t xml:space="preserve">Hayashi, F., &amp; Prescott, E. C. (2002). The 1990s in Japan: A lost decade. </w:t>
      </w:r>
      <w:r>
        <w:rPr>
          <w:rFonts w:ascii="Times New Roman" w:hAnsi="Times New Roman" w:eastAsia="MS Mincho"/>
          <w:b w:val="0"/>
          <w:i/>
          <w:sz w:val="24"/>
        </w:rPr>
        <w:t>Review of Economic Dynamics</w:t>
      </w:r>
      <w:r>
        <w:rPr>
          <w:rFonts w:ascii="Times New Roman" w:hAnsi="Times New Roman" w:eastAsia="MS Mincho"/>
          <w:b w:val="0"/>
          <w:i w:val="0"/>
          <w:sz w:val="24"/>
        </w:rPr>
        <w:t xml:space="preserve">, </w:t>
      </w:r>
      <w:r>
        <w:rPr>
          <w:rFonts w:ascii="Times New Roman" w:hAnsi="Times New Roman" w:eastAsia="MS Mincho"/>
          <w:b w:val="0"/>
          <w:i/>
          <w:sz w:val="24"/>
        </w:rPr>
        <w:t>5</w:t>
      </w:r>
      <w:r>
        <w:rPr>
          <w:rFonts w:ascii="Times New Roman" w:hAnsi="Times New Roman" w:eastAsia="MS Mincho"/>
          <w:b w:val="0"/>
          <w:i w:val="0"/>
          <w:sz w:val="24"/>
        </w:rPr>
        <w:t>(1), 206–235. https://doi.org/10.1006/redy.2001.0149</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 xml:space="preserve">Karabarbounis, L., &amp; Neiman, B. (2014). The global decline of the labor share. </w:t>
      </w:r>
      <w:r>
        <w:rPr>
          <w:rFonts w:ascii="Times New Roman" w:hAnsi="Times New Roman" w:eastAsia="MS Mincho"/>
          <w:b w:val="0"/>
          <w:i/>
          <w:sz w:val="24"/>
        </w:rPr>
        <w:t>Quarterly Journal of Economics</w:t>
      </w:r>
      <w:r>
        <w:rPr>
          <w:rFonts w:ascii="Times New Roman" w:hAnsi="Times New Roman" w:eastAsia="MS Mincho"/>
          <w:b w:val="0"/>
          <w:i w:val="0"/>
          <w:sz w:val="24"/>
        </w:rPr>
        <w:t xml:space="preserve">, </w:t>
      </w:r>
      <w:r>
        <w:rPr>
          <w:rFonts w:ascii="Times New Roman" w:hAnsi="Times New Roman" w:eastAsia="MS Mincho"/>
          <w:b w:val="0"/>
          <w:i/>
          <w:sz w:val="24"/>
        </w:rPr>
        <w:t>129</w:t>
      </w:r>
      <w:r>
        <w:rPr>
          <w:rFonts w:ascii="Times New Roman" w:hAnsi="Times New Roman" w:eastAsia="MS Mincho"/>
          <w:b w:val="0"/>
          <w:i w:val="0"/>
          <w:sz w:val="24"/>
        </w:rPr>
        <w:t>(1), 61–103. https://doi.org/10.1093/qje/qjt032</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 https://doi.org/10.1086/294329</w:t>
      </w:r>
    </w:p>
    <w:p>
      <w:pPr>
        <w:spacing w:after="120" w:line="360" w:lineRule="auto"/>
        <w:ind w:firstLine="480"/>
      </w:pPr>
      <w:r>
        <w:rPr>
          <w:rFonts w:ascii="Times New Roman" w:hAnsi="Times New Roman" w:eastAsia="MS Mincho"/>
          <w:b w:val="0"/>
          <w:i w:val="0"/>
          <w:sz w:val="24"/>
        </w:rPr>
        <w:t xml:space="preserve">McGrattan, E. R., &amp; Prescott, E. C. (2010). Unmeasured investment and the puzzling US boom in the 1990s. </w:t>
      </w:r>
      <w:r>
        <w:rPr>
          <w:rFonts w:ascii="Times New Roman" w:hAnsi="Times New Roman" w:eastAsia="MS Mincho"/>
          <w:b w:val="0"/>
          <w:i/>
          <w:sz w:val="24"/>
        </w:rPr>
        <w:t>American Economic Journal: Macroeconomics</w:t>
      </w:r>
      <w:r>
        <w:rPr>
          <w:rFonts w:ascii="Times New Roman" w:hAnsi="Times New Roman" w:eastAsia="MS Mincho"/>
          <w:b w:val="0"/>
          <w:i w:val="0"/>
          <w:sz w:val="24"/>
        </w:rPr>
        <w:t xml:space="preserve">, </w:t>
      </w:r>
      <w:r>
        <w:rPr>
          <w:rFonts w:ascii="Times New Roman" w:hAnsi="Times New Roman" w:eastAsia="MS Mincho"/>
          <w:b w:val="0"/>
          <w:i/>
          <w:sz w:val="24"/>
        </w:rPr>
        <w:t>2</w:t>
      </w:r>
      <w:r>
        <w:rPr>
          <w:rFonts w:ascii="Times New Roman" w:hAnsi="Times New Roman" w:eastAsia="MS Mincho"/>
          <w:b w:val="0"/>
          <w:i w:val="0"/>
          <w:sz w:val="24"/>
        </w:rPr>
        <w:t>(4), 88–123. https://doi.org/10.1257/mac.2.4.88</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(2022). Intangible capital and labor productivity growth – Revisiting the evidence: An update.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11</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