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val="0"/>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after="120" w:line="480" w:lineRule="auto"/>
        <w:ind w:firstLine="480"/>
      </w:pPr>
      <w:r>
        <w:rPr>
          <w:rFonts w:ascii="Times New Roman" w:hAnsi="Times New Roman" w:eastAsia="MS Mincho"/>
          <w:b w:val="0"/>
          <w:i w:val="0"/>
          <w:sz w:val="24"/>
        </w:rPr>
        <w:t>Statements and Declarations</w:t>
      </w:r>
    </w:p>
    <w:p>
      <w:pPr>
        <w:spacing w:after="120" w:line="480" w:lineRule="auto"/>
        <w:ind w:firstLine="480"/>
      </w:pPr>
      <w:r>
        <w:rPr>
          <w:rFonts w:ascii="Times New Roman" w:hAnsi="Times New Roman" w:eastAsia="MS Mincho"/>
          <w:b w:val="0"/>
          <w:i w:val="0"/>
          <w:sz w:val="24"/>
        </w:rPr>
        <w:t>Competing interests. The author declares no competing interests.</w:t>
      </w:r>
    </w:p>
    <w:p>
      <w:pPr>
        <w:spacing w:after="120" w:line="480" w:lineRule="auto"/>
        <w:ind w:firstLine="480"/>
      </w:pPr>
      <w:r>
        <w:rPr>
          <w:rFonts w:ascii="Times New Roman" w:hAnsi="Times New Roman" w:eastAsia="MS Mincho"/>
          <w:b w:val="0"/>
          <w:i w:val="0"/>
          <w:sz w:val="24"/>
        </w:rPr>
        <w:t>Funding. No external funding was received for this research.</w:t>
      </w:r>
    </w:p>
    <w:p>
      <w:pPr>
        <w:spacing w:after="120" w:line="480" w:lineRule="auto"/>
        <w:ind w:firstLine="480"/>
      </w:pPr>
      <w:r>
        <w:rPr>
          <w:rFonts w:ascii="Times New Roman" w:hAnsi="Times New Roman" w:eastAsia="MS Mincho"/>
          <w:b w:val="0"/>
          <w:i w:val="0"/>
          <w:sz w:val="24"/>
        </w:rPr>
        <w:t>Data and code availability.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480" w:lineRule="auto"/>
        <w:ind w:firstLine="480"/>
      </w:pPr>
      <w:r>
        <w:rPr>
          <w:rFonts w:ascii="Times New Roman" w:hAnsi="Times New Roman" w:eastAsia="MS Mincho"/>
          <w:b w:val="0"/>
          <w:i w:val="0"/>
          <w:sz w:val="24"/>
        </w:rPr>
        <w:t>Use of AI tools.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val="0"/>
          <w:i w:val="0"/>
          <w:sz w:val="24"/>
        </w:rPr>
        <w:t>Abstract. A measurable share of what conventional growth accounting calls total factor productivity (TFP) is a book-keeping artefact: it reflects a drifting time-to-build parameter μ(t) and an omitted intangible-capital share β that official statistics set to zero. Across 39 OECD and middle-income economies (Penn World Table 10.01, World Bank CWON, 1995–2019), letting μ drift and β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val="0"/>
          <w:i w:val="0"/>
          <w:sz w:val="24"/>
        </w:rPr>
        <w:t>Keywords: Solow residual; time-to-build; intangible capital; growth accounting; national wealth.</w:t>
      </w:r>
    </w:p>
    <w:p>
      <w:pPr>
        <w:spacing w:after="120" w:line="480" w:lineRule="auto"/>
        <w:ind w:firstLine="480"/>
      </w:pPr>
      <w:r>
        <w:rPr>
          <w:rFonts w:ascii="Times New Roman" w:hAnsi="Times New Roman" w:eastAsia="MS Mincho"/>
          <w:b w:val="0"/>
          <w:i w:val="0"/>
          <w:sz w:val="24"/>
        </w:rPr>
        <w:t>JEL codes: E01, E22, O47.</w:t>
      </w:r>
    </w:p>
    <w:p>
      <w:pPr>
        <w:spacing w:before="360" w:after="120" w:line="480" w:lineRule="auto"/>
        <w:jc w:val="center"/>
      </w:pPr>
      <w:r>
        <w:rPr>
          <w:rFonts w:ascii="Times New Roman" w:hAnsi="Times New Roman" w:eastAsia="MS Mincho"/>
          <w:b/>
          <w:i w:val="0"/>
          <w:sz w:val="28"/>
        </w:rPr>
        <w:t>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The first parameter is the time-varying investment-to-output lag, μ(t). The standard perpetual inventory method (PIM) assumes that investment becomes productive instantaneously (μ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μ has been rising but is treated as zero, the PIM capital stock is mis-timed and the Solow residual absorbs the error. The second parameter is the intangible capital share, β. Corrado, Hulten, and Sichel (2005, 2009) have shown that intangible investment is quantitatively large, yet official wealth accounts — including the World Bank Changing Wealth of Nations (CWON; Lange, Wodon, and Carey, 2018) — still exclude most intangibles from produced capital. When β is forced to zero, the missing capital again inflates TFP.</w:t>
      </w:r>
    </w:p>
    <w:p>
      <w:pPr>
        <w:spacing w:after="120" w:line="480" w:lineRule="auto"/>
        <w:ind w:firstLine="480"/>
      </w:pPr>
      <w:r>
        <w:rPr>
          <w:rFonts w:ascii="Times New Roman" w:hAnsi="Times New Roman" w:eastAsia="MS Mincho"/>
          <w:b w:val="0"/>
          <w:i w:val="0"/>
          <w:sz w:val="24"/>
        </w:rPr>
        <w:t>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μ(t) is the analogue of the mean age at childbearing, and β is the analogue of the forgotten variance.</w:t>
      </w:r>
    </w:p>
    <w:p>
      <w:pPr>
        <w:spacing w:after="120" w:line="480" w:lineRule="auto"/>
        <w:ind w:firstLine="480"/>
      </w:pPr>
      <w:r>
        <w:rPr>
          <w:rFonts w:ascii="Times New Roman" w:hAnsi="Times New Roman" w:eastAsia="MS Mincho"/>
          <w:b w:val="0"/>
          <w:i w:val="0"/>
          <w:sz w:val="24"/>
        </w:rPr>
        <w:t>Our contribution is three-fold. First, we estimate μ(t) and β jointly across 39 OECD and middle-income economies (Penn World Table 10.01, World Bank CWON, 1995–2019) and show that the time-varying μ(t)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II reviews the capital-accounting, intangibles, and tempo-demography literatures. Section III develops the theory. Section IV describes the data and methods and defines five models M0–M4 of increasing generality. Section V reports results, including the Solow-residual decomposition and counterfactual wealth simulation. Section VI discusses policy implications and the Beyond-GDP debate. Section VII concludes.</w:t>
      </w:r>
    </w:p>
    <w:p>
      <w:pPr>
        <w:spacing w:before="360" w:after="120" w:line="480" w:lineRule="auto"/>
        <w:jc w:val="center"/>
      </w:pPr>
      <w:r>
        <w:rPr>
          <w:rFonts w:ascii="Times New Roman" w:hAnsi="Times New Roman" w:eastAsia="MS Mincho"/>
          <w:b/>
          <w:i w:val="0"/>
          <w:sz w:val="28"/>
        </w:rPr>
        <w:t>II RELATED LITERATURE</w:t>
      </w:r>
    </w:p>
    <w:p>
      <w:pPr>
        <w:spacing w:after="120" w:line="480" w:lineRule="auto"/>
        <w:ind w:firstLine="480"/>
      </w:pPr>
      <w:r>
        <w:rPr>
          <w:rFonts w:ascii="Times New Roman" w:hAnsi="Times New Roman" w:eastAsia="MS Mincho"/>
          <w:b w:val="0"/>
          <w:i w:val="0"/>
          <w:sz w:val="24"/>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val="0"/>
          <w:i w:val="0"/>
          <w:sz w:val="24"/>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IV.</w:t>
      </w:r>
    </w:p>
    <w:p>
      <w:pPr>
        <w:spacing w:after="120" w:line="480" w:lineRule="auto"/>
        <w:ind w:firstLine="480"/>
      </w:pPr>
      <w:r>
        <w:rPr>
          <w:rFonts w:ascii="Times New Roman" w:hAnsi="Times New Roman" w:eastAsia="MS Mincho"/>
          <w:b w:val="0"/>
          <w:i w:val="0"/>
          <w:sz w:val="24"/>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val="0"/>
          <w:i w:val="0"/>
          <w:sz w:val="24"/>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val="0"/>
          <w:i w:val="0"/>
          <w:sz w:val="24"/>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val="0"/>
          <w:i w:val="0"/>
          <w:sz w:val="24"/>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jc w:val="center"/>
      </w:pPr>
      <w:r>
        <w:rPr>
          <w:rFonts w:ascii="Times New Roman" w:hAnsi="Times New Roman" w:eastAsia="MS Mincho"/>
          <w:b/>
          <w:i w:val="0"/>
          <w:sz w:val="28"/>
        </w:rPr>
        <w:t>III THEORY</w:t>
      </w:r>
    </w:p>
    <w:p>
      <w:pPr>
        <w:spacing w:before="360" w:after="120" w:line="480" w:lineRule="auto"/>
      </w:pPr>
      <w:r>
        <w:rPr>
          <w:rFonts w:ascii="Times New Roman" w:hAnsi="Times New Roman" w:eastAsia="MS Mincho"/>
          <w:b/>
          <w:i w:val="0"/>
          <w:sz w:val="24"/>
        </w:rPr>
        <w:t>III.1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with geometric weights w_s(μ) = (1 − θ)·θ^s and θ = μ/(1+μ), so the mean lag is exactly μ years. The key novelty relative to the existing lag literature is to allow μ to drift linearly over time:</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360" w:after="120" w:line="480" w:lineRule="auto"/>
      </w:pPr>
      <w:r>
        <w:rPr>
          <w:rFonts w:ascii="Times New Roman" w:hAnsi="Times New Roman" w:eastAsia="MS Mincho"/>
          <w:b/>
          <w:i w:val="0"/>
          <w:sz w:val="24"/>
        </w:rPr>
        <w:t>III.2 Stock-side intangibles: the forgotten β</w:t>
      </w:r>
    </w:p>
    <w:p>
      <w:pPr>
        <w:spacing w:after="120" w:line="480" w:lineRule="auto"/>
        <w:ind w:firstLine="480"/>
      </w:pPr>
      <w:r>
        <w:rPr>
          <w:rFonts w:ascii="Times New Roman" w:hAnsi="Times New Roman" w:eastAsia="MS Mincho"/>
          <w:b w:val="0"/>
          <w:i w:val="0"/>
          <w:sz w:val="24"/>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where β is the intangible share. Standard practice imposes β = 0 (Solow; also M0 and M1 here). Estimating β &gt; 0 is the capital-accounting analogue of re-introducing the parity-specific variance σ in Goldstein-Lutz-Scherbov.</w:t>
      </w:r>
    </w:p>
    <w:p>
      <w:pPr>
        <w:spacing w:before="360" w:after="120" w:line="480" w:lineRule="auto"/>
      </w:pPr>
      <w:r>
        <w:rPr>
          <w:rFonts w:ascii="Times New Roman" w:hAnsi="Times New Roman" w:eastAsia="MS Mincho"/>
          <w:b/>
          <w:i w:val="0"/>
          <w:sz w:val="24"/>
        </w:rPr>
        <w:t>III.3 Unifying identity: the flow-stock joint loss</w:t>
      </w:r>
    </w:p>
    <w:p>
      <w:pPr>
        <w:spacing w:after="120" w:line="480" w:lineRule="auto"/>
        <w:ind w:firstLine="480"/>
      </w:pPr>
      <w:r>
        <w:rPr>
          <w:rFonts w:ascii="Times New Roman" w:hAnsi="Times New Roman" w:eastAsia="MS Mincho"/>
          <w:b w:val="0"/>
          <w:i w:val="0"/>
          <w:sz w:val="24"/>
        </w:rPr>
        <w:t>Any consistent national wealth aggregate W(t) must satisfy the book-keeping identity</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360" w:after="120" w:line="480" w:lineRule="auto"/>
      </w:pPr>
      <w:r>
        <w:rPr>
          <w:rFonts w:ascii="Times New Roman" w:hAnsi="Times New Roman" w:eastAsia="MS Mincho"/>
          <w:b/>
          <w:i w:val="0"/>
          <w:sz w:val="24"/>
        </w:rPr>
        <w:t>III.4 Quantum–tempo correspondence between population and capital</w:t>
      </w:r>
    </w:p>
    <w:p>
      <w:pPr>
        <w:spacing w:after="120" w:line="480" w:lineRule="auto"/>
        <w:ind w:firstLine="480"/>
      </w:pPr>
      <w:r>
        <w:rPr>
          <w:rFonts w:ascii="Times New Roman" w:hAnsi="Times New Roman" w:eastAsia="MS Mincho"/>
          <w:b w:val="0"/>
          <w:i w:val="0"/>
          <w:sz w:val="24"/>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III.5 Relational PIM: a Brass model for capital accounting</w:t>
      </w:r>
    </w:p>
    <w:p>
      <w:pPr>
        <w:spacing w:after="120" w:line="480" w:lineRule="auto"/>
        <w:ind w:firstLine="480"/>
      </w:pPr>
      <w:r>
        <w:rPr>
          <w:rFonts w:ascii="Times New Roman" w:hAnsi="Times New Roman" w:eastAsia="MS Mincho"/>
          <w:b w:val="0"/>
          <w:i w:val="0"/>
          <w:sz w:val="24"/>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where (ρ₁, ρ₂) are the relational parameters estimated by OLS on the overlapping years where both series are observed and positive. The interpretation is direct:</w:t>
      </w:r>
    </w:p>
    <w:p>
      <w:pPr>
        <w:spacing w:after="120" w:line="480" w:lineRule="auto"/>
        <w:ind w:firstLine="480"/>
      </w:pPr>
      <w:r>
        <w:rPr>
          <w:rFonts w:ascii="Times New Roman" w:hAnsi="Times New Roman" w:eastAsia="MS Mincho"/>
          <w:b w:val="0"/>
          <w:i w:val="0"/>
          <w:sz w:val="24"/>
        </w:rPr>
        <w:t>* ρ₂ = 1 and ρ₁ = 0: the PIM and CWON accounts are perfectly consistent — they measure the same latent stock up to a white-noise error.</w:t>
      </w:r>
    </w:p>
    <w:p>
      <w:pPr>
        <w:spacing w:after="120" w:line="480" w:lineRule="auto"/>
        <w:ind w:firstLine="480"/>
      </w:pPr>
      <w:r>
        <w:rPr>
          <w:rFonts w:ascii="Times New Roman" w:hAnsi="Times New Roman" w:eastAsia="MS Mincho"/>
          <w:b w:val="0"/>
          <w:i w:val="0"/>
          <w:sz w:val="24"/>
        </w:rPr>
        <w:t>* ρ₂ ≠ 1: there is a cumulative (scale-dependent) bias in the PIM relative to CWON. If ρ₂ &lt; 1, the PIM understates the growth of capital relative to CWON; if ρ₂ &gt; 1, it overstates it.</w:t>
      </w:r>
    </w:p>
    <w:p>
      <w:pPr>
        <w:spacing w:after="120" w:line="480" w:lineRule="auto"/>
        <w:ind w:firstLine="480"/>
      </w:pPr>
      <w:r>
        <w:rPr>
          <w:rFonts w:ascii="Times New Roman" w:hAnsi="Times New Roman" w:eastAsia="MS Mincho"/>
          <w:b w:val="0"/>
          <w:i w:val="0"/>
          <w:sz w:val="24"/>
        </w:rPr>
        <w:t>* ρ₁ ≠ 0: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360" w:after="120" w:line="480" w:lineRule="auto"/>
        <w:jc w:val="center"/>
      </w:pPr>
      <w:r>
        <w:rPr>
          <w:rFonts w:ascii="Times New Roman" w:hAnsi="Times New Roman" w:eastAsia="MS Mincho"/>
          <w:b/>
          <w:i w:val="0"/>
          <w:sz w:val="28"/>
        </w:rPr>
        <w:t>IV DATA AND METHODS</w:t>
      </w:r>
    </w:p>
    <w:p>
      <w:pPr>
        <w:spacing w:before="360" w:after="120" w:line="480" w:lineRule="auto"/>
      </w:pPr>
      <w:r>
        <w:rPr>
          <w:rFonts w:ascii="Times New Roman" w:hAnsi="Times New Roman" w:eastAsia="MS Mincho"/>
          <w:b/>
          <w:i w:val="0"/>
          <w:sz w:val="24"/>
        </w:rPr>
        <w:t>IV.1 Data</w:t>
      </w:r>
    </w:p>
    <w:p>
      <w:pPr>
        <w:spacing w:after="120" w:line="480" w:lineRule="auto"/>
        <w:ind w:firstLine="480"/>
      </w:pPr>
      <w:r>
        <w:rPr>
          <w:rFonts w:ascii="Times New Roman" w:hAnsi="Times New Roman" w:eastAsia="MS Mincho"/>
          <w:b w:val="0"/>
          <w:i w:val="0"/>
          <w:sz w:val="24"/>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IV.2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firstLine="480"/>
      </w:pPr>
      <w:r>
        <w:rPr>
          <w:rFonts w:ascii="Times New Roman" w:hAnsi="Times New Roman" w:eastAsia="MS Mincho"/>
          <w:b w:val="0"/>
          <w:i w:val="0"/>
          <w:sz w:val="24"/>
        </w:rPr>
        <w:t xml:space="preserve"> M0: Solow baseline, K_tang* as M0 above, β = 0.</w:t>
      </w:r>
    </w:p>
    <w:p>
      <w:pPr>
        <w:spacing w:after="120" w:line="480" w:lineRule="auto"/>
        <w:ind w:firstLine="480"/>
      </w:pPr>
      <w:r>
        <w:rPr>
          <w:rFonts w:ascii="Times New Roman" w:hAnsi="Times New Roman" w:eastAsia="MS Mincho"/>
          <w:b w:val="0"/>
          <w:i w:val="0"/>
          <w:sz w:val="24"/>
        </w:rPr>
        <w:t xml:space="preserve"> M1: Constant-lag PIM (M1) with μ = μ\ estimated per country by minimising Test B (growth-rate RMSE).</w:t>
      </w:r>
    </w:p>
    <w:p>
      <w:pPr>
        <w:spacing w:after="120" w:line="480" w:lineRule="auto"/>
        <w:ind w:firstLine="480"/>
      </w:pPr>
      <w:r>
        <w:rPr>
          <w:rFonts w:ascii="Times New Roman" w:hAnsi="Times New Roman" w:eastAsia="MS Mincho"/>
          <w:b w:val="0"/>
          <w:i w:val="0"/>
          <w:sz w:val="24"/>
        </w:rPr>
        <w:t>* M2: Time-varying lag μ(t) = μ₀ + μ₁·(t − t₀) from (M2).</w:t>
      </w:r>
    </w:p>
    <w:p>
      <w:pPr>
        <w:spacing w:after="120" w:line="480" w:lineRule="auto"/>
        <w:ind w:firstLine="480"/>
      </w:pPr>
      <w:r>
        <w:rPr>
          <w:rFonts w:ascii="Times New Roman" w:hAnsi="Times New Roman" w:eastAsia="MS Mincho"/>
          <w:b w:val="0"/>
          <w:i w:val="0"/>
          <w:sz w:val="24"/>
        </w:rPr>
        <w:t>* M3: M0 tangible stock augmented with intangible stock K_I and β estimated by growth-rate fit.</w:t>
      </w:r>
    </w:p>
    <w:p>
      <w:pPr>
        <w:spacing w:after="120" w:line="480" w:lineRule="auto"/>
        <w:ind w:firstLine="480"/>
      </w:pPr>
      <w:r>
        <w:rPr>
          <w:rFonts w:ascii="Times New Roman" w:hAnsi="Times New Roman" w:eastAsia="MS Mincho"/>
          <w:b w:val="0"/>
          <w:i w:val="0"/>
          <w:sz w:val="24"/>
        </w:rPr>
        <w:t>* M4: Joint identification (Section III.3), minimising (2) over (μ, β)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firstLine="480"/>
      </w:pPr>
      <w:r>
        <w:rPr>
          <w:rFonts w:ascii="Times New Roman" w:hAnsi="Times New Roman" w:eastAsia="MS Mincho"/>
          <w:b w:val="0"/>
          <w:i w:val="0"/>
          <w:sz w:val="24"/>
        </w:rPr>
        <w:t>* Test A (level MAPE): mean absolute percentage error of fitted log-GDP against observed log-GDP, decomposing away decade-mean TFP. Lower is better.</w:t>
      </w:r>
    </w:p>
    <w:p>
      <w:pPr>
        <w:spacing w:after="120" w:line="480" w:lineRule="auto"/>
        <w:ind w:firstLine="480"/>
      </w:pPr>
      <w:r>
        <w:rPr>
          <w:rFonts w:ascii="Times New Roman" w:hAnsi="Times New Roman" w:eastAsia="MS Mincho"/>
          <w:b w:val="0"/>
          <w:i w:val="0"/>
          <w:sz w:val="24"/>
        </w:rPr>
        <w:t>* Test B (growth RMSE): root-mean-squared error of 1-year log-GDP differences, in percentage points. Lower is better.</w:t>
      </w:r>
    </w:p>
    <w:p>
      <w:pPr>
        <w:spacing w:after="120" w:line="480" w:lineRule="auto"/>
        <w:ind w:firstLine="480"/>
      </w:pPr>
      <w:r>
        <w:rPr>
          <w:rFonts w:ascii="Times New Roman" w:hAnsi="Times New Roman" w:eastAsia="MS Mincho"/>
          <w:b w:val="0"/>
          <w:i w:val="0"/>
          <w:sz w:val="24"/>
        </w:rPr>
        <w:t>* Out-of-sample MAPE: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IV.3 Estimation protocol and grid search</w:t>
      </w:r>
    </w:p>
    <w:p>
      <w:pPr>
        <w:spacing w:after="120" w:line="480" w:lineRule="auto"/>
        <w:ind w:firstLine="480"/>
      </w:pPr>
      <w:r>
        <w:rPr>
          <w:rFonts w:ascii="Times New Roman" w:hAnsi="Times New Roman" w:eastAsia="MS Mincho"/>
          <w:b w:val="0"/>
          <w:i w:val="0"/>
          <w:sz w:val="24"/>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360" w:after="120" w:line="480" w:lineRule="auto"/>
      </w:pPr>
      <w:r>
        <w:rPr>
          <w:rFonts w:ascii="Times New Roman" w:hAnsi="Times New Roman" w:eastAsia="MS Mincho"/>
          <w:b/>
          <w:i w:val="0"/>
          <w:sz w:val="24"/>
        </w:rPr>
        <w:t>IV.4 Bootstrap confidence intervals</w:t>
      </w:r>
    </w:p>
    <w:p>
      <w:pPr>
        <w:spacing w:after="120" w:line="480" w:lineRule="auto"/>
        <w:ind w:firstLine="480"/>
      </w:pPr>
      <w:r>
        <w:rPr>
          <w:rFonts w:ascii="Times New Roman" w:hAnsi="Times New Roman" w:eastAsia="MS Mincho"/>
          <w:b w:val="0"/>
          <w:i w:val="0"/>
          <w:sz w:val="24"/>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360" w:after="120" w:line="480" w:lineRule="auto"/>
      </w:pPr>
      <w:r>
        <w:rPr>
          <w:rFonts w:ascii="Times New Roman" w:hAnsi="Times New Roman" w:eastAsia="MS Mincho"/>
          <w:b/>
          <w:i w:val="0"/>
          <w:sz w:val="24"/>
        </w:rPr>
        <w:t>IV.5 γ_price sensitivity</w:t>
      </w:r>
    </w:p>
    <w:p>
      <w:pPr>
        <w:spacing w:after="120" w:line="480" w:lineRule="auto"/>
        <w:ind w:firstLine="480"/>
      </w:pPr>
      <w:r>
        <w:rPr>
          <w:rFonts w:ascii="Times New Roman" w:hAnsi="Times New Roman" w:eastAsia="MS Mincho"/>
          <w:b w:val="0"/>
          <w:i w:val="0"/>
          <w:sz w:val="24"/>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360" w:after="120" w:line="480" w:lineRule="auto"/>
        <w:jc w:val="center"/>
      </w:pPr>
      <w:r>
        <w:rPr>
          <w:rFonts w:ascii="Times New Roman" w:hAnsi="Times New Roman" w:eastAsia="MS Mincho"/>
          <w:b/>
          <w:i w:val="0"/>
          <w:sz w:val="28"/>
        </w:rPr>
        <w:t>V RESULTS</w:t>
      </w:r>
    </w:p>
    <w:p>
      <w:pPr>
        <w:spacing w:before="360" w:after="120" w:line="480" w:lineRule="auto"/>
      </w:pPr>
      <w:r>
        <w:rPr>
          <w:rFonts w:ascii="Times New Roman" w:hAnsi="Times New Roman" w:eastAsia="MS Mincho"/>
          <w:b/>
          <w:i w:val="0"/>
          <w:sz w:val="24"/>
        </w:rPr>
        <w:t>V.1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V.2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360" w:after="120" w:line="480" w:lineRule="auto"/>
      </w:pPr>
      <w:r>
        <w:rPr>
          <w:rFonts w:ascii="Times New Roman" w:hAnsi="Times New Roman" w:eastAsia="MS Mincho"/>
          <w:b/>
          <w:i w:val="0"/>
          <w:sz w:val="24"/>
        </w:rPr>
        <w:t>V.3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V.4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V.5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Figure 6 and Table 3 report the Relational PIM diagnostics defined in Section III.5.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V.6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480" w:lineRule="auto"/>
        <w:ind w:firstLine="480"/>
      </w:pPr>
      <w:r>
        <w:rPr>
          <w:rFonts w:ascii="Times New Roman" w:hAnsi="Times New Roman" w:eastAsia="MS Mincho"/>
          <w:b w:val="0"/>
          <w:i w:val="0"/>
          <w:sz w:val="24"/>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V.7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480" w:lineRule="auto"/>
        <w:ind w:firstLine="480"/>
      </w:pPr>
      <w:r>
        <w:rPr>
          <w:rFonts w:ascii="Times New Roman" w:hAnsi="Times New Roman" w:eastAsia="MS Mincho"/>
          <w:b w:val="0"/>
          <w:i w:val="0"/>
          <w:sz w:val="24"/>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V.8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V.9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360" w:after="120" w:line="480" w:lineRule="auto"/>
      </w:pPr>
      <w:r>
        <w:rPr>
          <w:rFonts w:ascii="Times New Roman" w:hAnsi="Times New Roman" w:eastAsia="MS Mincho"/>
          <w:b/>
          <w:i w:val="0"/>
          <w:sz w:val="24"/>
        </w:rPr>
        <w:t>V.10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Under M0 the Solow residual is log A₀(t) = log Y − α log K₀ − (1 − α) log LH, where K₀ is the instant PIM stock. Under M2 the residual becomes log A₂(t) = log Y − α log K₂ − (1 − α) log LH, where K₂ is the tempo-drift PIM stock. The difference in growth-rate variance — Var(Δ log A₀) versus Var(Δ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β,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β̂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V.11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The intangible capital share β has a direct policy implication: if β were included in official wealth accounts, national produced capital would be revised upward. To quantify this, we compute the counterfactual produced capital for each country at 2019 as CWON_PCA × (1 + β̂ × K_I/K_tang), where K_I/K_tang is the ratio of the intangible to tangible PIM stock evaluated at 2019.</w:t>
      </w:r>
    </w:p>
    <w:p>
      <w:pPr>
        <w:spacing w:after="120" w:line="480" w:lineRule="auto"/>
        <w:ind w:firstLine="480"/>
      </w:pPr>
      <w:r>
        <w:rPr>
          <w:rFonts w:ascii="Times New Roman" w:hAnsi="Times New Roman" w:eastAsia="MS Mincho"/>
          <w:b w:val="0"/>
          <w:i w:val="0"/>
          <w:sz w:val="24"/>
        </w:rPr>
        <w:t>Figure 11 displays the results for the 21 countries with β̂ &gt; 0. The Netherlands, France, and Norway show the largest adjustments (0.9–1.1 %), driven by the combination of high β̂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jc w:val="center"/>
      </w:pPr>
      <w:r>
        <w:rPr>
          <w:rFonts w:ascii="Times New Roman" w:hAnsi="Times New Roman" w:eastAsia="MS Mincho"/>
          <w:b/>
          <w:i w:val="0"/>
          <w:sz w:val="28"/>
        </w:rPr>
        <w:t>VI DISCUSSION</w:t>
      </w:r>
    </w:p>
    <w:p>
      <w:pPr>
        <w:spacing w:after="120" w:line="480" w:lineRule="auto"/>
        <w:ind w:firstLine="480"/>
      </w:pPr>
      <w:r>
        <w:rPr>
          <w:rFonts w:ascii="Times New Roman" w:hAnsi="Times New Roman" w:eastAsia="MS Mincho"/>
          <w:b w:val="0"/>
          <w:i w:val="0"/>
          <w:sz w:val="24"/>
        </w:rPr>
        <w:t>We now step back from the technical results and consider what a time-varying μ(t) and a nonzero β mean for four active debates in economic measurement.</w:t>
      </w:r>
    </w:p>
    <w:p>
      <w:pPr>
        <w:spacing w:before="360" w:after="120" w:line="480" w:lineRule="auto"/>
      </w:pPr>
      <w:r>
        <w:rPr>
          <w:rFonts w:ascii="Times New Roman" w:hAnsi="Times New Roman" w:eastAsia="MS Mincho"/>
          <w:b/>
          <w:i w:val="0"/>
          <w:sz w:val="24"/>
        </w:rPr>
        <w:t>VI.1 Re-interpreting the Solow residual</w:t>
      </w:r>
    </w:p>
    <w:p>
      <w:pPr>
        <w:spacing w:after="120" w:line="480" w:lineRule="auto"/>
        <w:ind w:firstLine="480"/>
      </w:pPr>
      <w:r>
        <w:rPr>
          <w:rFonts w:ascii="Times New Roman" w:hAnsi="Times New Roman" w:eastAsia="MS Mincho"/>
          <w:b w:val="0"/>
          <w:i w:val="0"/>
          <w:sz w:val="24"/>
        </w:rPr>
        <w:t>The historical decomposition of Section V.10 puts a number on the long-standing suspicion that the Solow residual conflates genuine innovation with capital-stock mismeasurement.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VI.2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At the most conservative level, the results of Section V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360" w:after="120" w:line="480" w:lineRule="auto"/>
      </w:pPr>
      <w:r>
        <w:rPr>
          <w:rFonts w:ascii="Times New Roman" w:hAnsi="Times New Roman" w:eastAsia="MS Mincho"/>
          <w:b/>
          <w:i w:val="0"/>
          <w:sz w:val="24"/>
        </w:rPr>
        <w:t>VI.3 Flow–stock reconciliation and Beyond-GDP</w:t>
      </w:r>
    </w:p>
    <w:p>
      <w:pPr>
        <w:spacing w:after="120" w:line="480" w:lineRule="auto"/>
        <w:ind w:firstLine="480"/>
      </w:pPr>
      <w:r>
        <w:rPr>
          <w:rFonts w:ascii="Times New Roman" w:hAnsi="Times New Roman" w:eastAsia="MS Mincho"/>
          <w:b w:val="0"/>
          <w:i w:val="0"/>
          <w:sz w:val="24"/>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480" w:lineRule="auto"/>
        <w:ind w:firstLine="480"/>
      </w:pPr>
      <w:r>
        <w:rPr>
          <w:rFonts w:ascii="Times New Roman" w:hAnsi="Times New Roman" w:eastAsia="MS Mincho"/>
          <w:b w:val="0"/>
          <w:i w:val="0"/>
          <w:sz w:val="24"/>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360" w:after="120" w:line="480" w:lineRule="auto"/>
      </w:pPr>
      <w:r>
        <w:rPr>
          <w:rFonts w:ascii="Times New Roman" w:hAnsi="Times New Roman" w:eastAsia="MS Mincho"/>
          <w:b/>
          <w:i w:val="0"/>
          <w:sz w:val="24"/>
        </w:rPr>
        <w:t>VI.4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VI.5 Limitations</w:t>
      </w:r>
    </w:p>
    <w:p>
      <w:pPr>
        <w:spacing w:after="120" w:line="480" w:lineRule="auto"/>
        <w:ind w:firstLine="480"/>
      </w:pPr>
      <w:r>
        <w:rPr>
          <w:rFonts w:ascii="Times New Roman" w:hAnsi="Times New Roman" w:eastAsia="MS Mincho"/>
          <w:b w:val="0"/>
          <w:i w:val="0"/>
          <w:sz w:val="24"/>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360" w:after="120" w:line="480" w:lineRule="auto"/>
        <w:jc w:val="center"/>
      </w:pPr>
      <w:r>
        <w:rPr>
          <w:rFonts w:ascii="Times New Roman" w:hAnsi="Times New Roman" w:eastAsia="MS Mincho"/>
          <w:b/>
          <w:i w:val="0"/>
          <w:sz w:val="28"/>
        </w:rPr>
        <w:t>VII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jc w:val="center"/>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val="0"/>
          <w:i w:val="0"/>
          <w:sz w:val="24"/>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Table 5. Tempo-artifact share of TFP-growth variance by country: the percentage reduction in Var(Δ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