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9992</w:t>
      </w:r>
    </w:p>
    <w:p>
      <w:pPr>
        <w:jc w:val="center"/>
      </w:pPr>
      <w:r>
        <w:t>Corresponding author: [To be completed at submission]</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10190.39 and a conservative, non-standard MAPE of 129.0%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The analysis is bundled with a pre-extracted cohort and a stratified sample of works; the country-to-civilisation mapping, code, and result CSVs used to generate this manuscript are available in the public GitHub repository https://github.com/bougtoir/researcher-mobility-ode. The full SQLite cohort snapshot used for extraction is available from the corresponding author on request. OpenAlex data are released under CC0.</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This connects that macro-level, innovation-systems view of path-dependent technological change to individual career-transition data: the transition rates and PNR distances reported below can be read as an empirical early-warning indicator of whether a particular civilisational innovation system retains enough researchers to sustain a distinct technological trajectory.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 Civilisation labels are operational aggregations of OpenAlex country-affiliation patterns and do not imply normative cultural or political classification.</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In this sense, falling below M is a sufficient condition for collapse, not a necessary one; external shocks can push a community below viability even when the equilibrium active pool remains above M.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using a Laplace pseudocount of 1 for each outcome so the smoothed proportion is (successes + 1)/(n + 2).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smoothing with a pseudocount of 1 for each possible destination,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Projected annual dropout was capped at 1.5 times the 90th percentile of observed annual dropout rates in the 2000-2016 training period.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1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Supplementary Table 5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The mean observed annual transition rates by group between 2000 and 2016, distinguishing early-career outflow (α), return (β), domestic and abroad hit generation (h_D, h_A), PI promotion (p_D), dropout (d), and total inflow (I_total), are provided in Supplementary Table 3. Similarly, the cross-origin-destination pairs with the largest accumulation of abroad author-years are listed in Supplementary Table 4. These supplementary tables keep the main text focused on the PNR and policy conclusions while preserving the empirical detail needed for replication and extension.</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pPr>
        <w:pStyle w:val="Heading2"/>
      </w:pPr>
      <w:r>
        <w:t>5.7 Out-of-sample projection, 2017-2023</w:t>
      </w:r>
    </w:p>
    <w:p>
      <w:r>
        <w:t>The 2017-2023 projection is compared with observed annual stocks in Figure 7. Overall accuracy is RMSE 10190.39 and MAPE 129.0%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t xml:space="preserve">Direction and threshold-alarm diagnostics support this interpretation. </w:t>
      </w:r>
      <w:r>
        <w:t xml:space="preserve">Year-to-year direction agreement between projected and observed compartment counts is 21.6%, ranging from Hindu to Japanese. </w:t>
      </w:r>
      <w:r>
        <w:t xml:space="preserve">For the active pool T = D + H_D + P_D, the projection correctly classifies whether T is below the minimum viable threshold M in 92.1% of group-years (sensitivity 0.0%, specificity 100.0%). The model identifies 5 observed threshold-crossing group-years, mostly in the smallest civilisations. </w:t>
      </w:r>
      <w:r>
        <w:t>These metrics confirm that the annual layer is useful for directional and threshold-crossing surveillance, not for precise population counts. The modest year-to-year direction-agreement value is expected for small compartments and sparse transitions, and it reinforces that the projection layer should be treated as a drift-and-threshold alarm rather than a population forecast.</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 Japan is presented here as an illustrative case; the same diagnostic can be applied to any civilisation with sufficient OpenAlex coverage.</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 The Japan-specific analysis is intended as a worked example; the same rate-ladder diagnostic can be applied to any civilisation with sufficient OpenAlex coverage.</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formed from the title and reflecting the research base at Shiga University.</w:t>
      </w:r>
    </w:p>
    <w:p>
      <w:r>
        <w:t>Table 8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8.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8 distinguishes the policy instruments that governments, funding agencies and international organisations control from the management actions that universities and research institutes must take. Policymakers set incentives—doctoral quotas, fellowships, visas, independent-lab schemes, and dual-career support—but those incentives change transition rates only if institutions translate them into hiring, promotion, and retention practices. University leadership and department heads therefore own the management levers in the right-hand column: tenure-track conversion, startup packages, mentoring pipelines, and stable non-tenure research tracks. Mapping the model levers to actors sharpens the translation: I0 and h_D are primarily owned by national funding agencies and ministries that set doctoral, postdoctoral and independent-lab budgets; p_D and d are owned by universities and department heads through promotion, retention and work-life policies; β is influenced by diaspora networks, return grants, dual appointments and private-sector R&amp;D recruitment. The model's value for management is to rank which local transition rates most urgently need intervention and to estimate the proportional change required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The modest year-to-year direction agreement in the 2017-2023 projection confirms that this layer is a drift-and-threshold alarm, not a precise population forecast.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