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Sustaining Heterogeneity through Interventions in Global AI/ML Researcher Mobility: A Transition-Rate Framework</w:t>
      </w:r>
    </w:p>
    <w:p>
      <w:pPr>
        <w:jc w:val="center"/>
      </w:pPr>
      <w:r>
        <w:t>Article type: Research Article</w:t>
      </w:r>
    </w:p>
    <w:p>
      <w:pPr>
        <w:jc w:val="center"/>
      </w:pPr>
      <w:r>
        <w:t>Approximate word count (main text incl. tables, excl. references): 9992</w:t>
      </w:r>
    </w:p>
    <w:p>
      <w:pPr>
        <w:jc w:val="center"/>
      </w:pPr>
      <w:r>
        <w:t>Author information removed for double-blind review</w:t>
      </w:r>
    </w:p>
    <w:p>
      <w:r>
        <w:br w:type="page"/>
      </w:r>
    </w:p>
    <w:p>
      <w:pPr>
        <w:pStyle w:val="Heading1"/>
      </w:pPr>
      <w:r>
        <w:t>Abstract</w:t>
      </w:r>
    </w:p>
    <w:p>
      <w:r>
        <w:t>Artificial intelligence (AI) and machine learning (ML) research is increasingly concentrated, raising the risk that smaller communities fall below a minimum viable coauthor pool. We model each civilisation as a six-compartment system of domestic and abroad early-career, high-impact, and principal-investigator (PI) researchers, and estimate transition rates from OpenAlex AI/ML data (subfield 1702). The minimum viable threshold is M = k × c_bar, where c_bar is the mean authors per work and k is the median number of distinct last-author groups per year. Across 9 groups, equilibrium active pools remain above their thresholds, but the closest point of no return (PNR) is observed for the Other Western group, where the exogenous entry rate (I0) must be multiplied by 0.332× (a 67% proportional reduction) to drive the active pool to its threshold. A simulated reduction in dropout yields the largest margin gain in every group in the fitted model. The 2017-2023 projection has RMSE 10190.39 and a conservative, non-standard MAPE of 129.0% (count_obs + 1 denominator). The high error is expected because the projection is an early-warning indicator of directional drift, not a precise forecast. Historical counterfactuals and bootstrap uncertainty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PNR; innovation studies</w:t>
      </w:r>
    </w:p>
    <w:p>
      <w:pPr>
        <w:pStyle w:val="Heading2"/>
      </w:pPr>
      <w:r>
        <w:t>Highlights</w:t>
      </w:r>
    </w:p>
    <w:p>
      <w:pPr>
        <w:pStyle w:val="ListBullet"/>
      </w:pPr>
      <w:r>
        <w:t>Nine civilisations modelled as six-compartment ODEs fitted to OpenAlex AI/ML data.</w:t>
      </w:r>
    </w:p>
    <w:p>
      <w:pPr>
        <w:pStyle w:val="ListBullet"/>
      </w:pPr>
      <w:r>
        <w:t>Closest PNR: Other Western via I0 (factor 0.332×).</w:t>
      </w:r>
    </w:p>
    <w:p>
      <w:pPr>
        <w:pStyle w:val="ListBullet"/>
      </w:pPr>
      <w:r>
        <w:t>Dropout reduction yields the largest margin gain across all groups.</w:t>
      </w:r>
    </w:p>
    <w:p>
      <w:pPr>
        <w:pStyle w:val="Heading2"/>
      </w:pPr>
      <w:r>
        <w:t>Data and Code Availability</w:t>
      </w:r>
    </w:p>
    <w:p>
      <w:r>
        <w:t>This study uses the OpenAlex database (subfield 1702, Artificial Intelligence; 2000–2023), accessed via the OpenAlex API. The analysis is bundled with a pre-extracted cohort and a stratified sample of works; the country-to-civilisation mapping, code, and result CSVs used to generate this manuscript will be made available in a public repository upon acceptance. The full SQLite cohort snapshot used for extraction is available from the corresponding author on request. OpenAlex data are released under CC0.</w:t>
      </w:r>
    </w:p>
    <w:p>
      <w:pPr>
        <w:pStyle w:val="Heading2"/>
      </w:pPr>
      <w:r>
        <w:t>Declarations</w:t>
      </w:r>
    </w:p>
    <w:p>
      <w:r>
        <w:rPr>
          <w:b/>
        </w:rPr>
        <w:t xml:space="preserve">Funding: </w:t>
      </w:r>
      <w:r>
        <w:t>[To be completed by the authors at submission.]</w:t>
      </w:r>
    </w:p>
    <w:p>
      <w:r>
        <w:rPr>
          <w:b/>
        </w:rPr>
        <w:t xml:space="preserve">Competing interests: </w:t>
      </w:r>
      <w:r>
        <w:t>[To be completed by the authors at submission.]</w:t>
      </w:r>
    </w:p>
    <w:p>
      <w:r>
        <w:rPr>
          <w:b/>
        </w:rPr>
        <w:t xml:space="preserve">Author contributions: </w:t>
      </w:r>
      <w:r>
        <w:t>[To be completed by the authors at submission.]</w:t>
      </w:r>
    </w:p>
    <w:p>
      <w:r>
        <w:rPr>
          <w:b/>
        </w:rPr>
        <w:t xml:space="preserve">Declaration of generative AI in scientific writing: </w:t>
      </w:r>
      <w:r>
        <w:t>During the preparation of this work the authors used AI-assisted tools to draft, code, and revise the manuscript. All claims, data, and interpretations were reviewed and approved by the authors.</w:t>
      </w:r>
    </w:p>
    <w:p>
      <w:r>
        <w:rPr>
          <w:b/>
        </w:rPr>
        <w:t xml:space="preserve">Acknowledgments: </w:t>
      </w:r>
      <w:r>
        <w:t>[Removed for double-blind review]</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(PNR) that motivates this paper.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(AI) and machine learning (ML) have become the archetypal general-purpose technologies of the current era</w:t>
      </w:r>
      <w:r>
        <w:rPr>
          <w:vertAlign w:val="superscript"/>
        </w:rPr>
        <w:t xml:space="preserve"> [1]</w:t>
      </w:r>
      <w:r>
        <w:t>, and their development depends on a relatively small, highly mobile workforce of doctoral and post-doctoral researchers, principal investigators (PIs), and research engineers</w:t>
      </w:r>
      <w:r>
        <w:rPr>
          <w:vertAlign w:val="superscript"/>
        </w:rPr>
        <w:t xml:space="preserve"> [1]</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 xml:space="preserve"> [2]</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 xml:space="preserve"> [3]</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 xml:space="preserve"> [4]</w:t>
      </w:r>
      <w:r>
        <w:t>. We adapt Huntington's nine civilisations for AI/ML mobility by keeping the United States, China (Sinic), India and nearby South Asian countries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 xml:space="preserve"> [5]</w:t>
      </w:r>
      <w:r>
        <w:t>. A diverse ecosystem generates competing approaches, which increases the probability that unexpected breakthroughs and error correction survive</w:t>
      </w:r>
      <w:r>
        <w:rPr>
          <w:vertAlign w:val="superscript"/>
        </w:rPr>
        <w:t xml:space="preserve"> [5]</w:t>
      </w:r>
      <w:r>
        <w:t>. If transition rates can be observed with enough temporal resolution, policy can intervene before a community reaches the PNR. Early, proportionate interventions can prevent the emergence of a monopoly or oligopoly without requiring large ex post rescues.</w:t>
      </w:r>
    </w:p>
    <w:p>
      <w:r>
        <w:t>We therefore address five research questions. First, how close is each civilisation to the PNR in its AI/ML research community? Second, which transition rates have the largest effect on community size? Third, how have transition rates changed between earlier and later career cohorts, and what would have happened if those rates had persisted? Fourth, what safety-factor-bound single-lever and multi-lever policy scenarios can widen the margin before a PNR is reached? Fifth, can the fitted rates be estimated year by year and used to project near-term population composition, and how well do those projections reproduce observed 2017-2023 counts?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 (ODEs)</w:t>
      </w:r>
      <w:r>
        <w:rPr>
          <w:vertAlign w:val="superscript"/>
        </w:rPr>
        <w:t xml:space="preserve"> [6]</w:t>
      </w:r>
      <w:r>
        <w:t>. The model is intentionally simple: it does not explain why a rate is high or low, but it identifies which rate is closest to a threshold and therefore where early intervention is most urgent.</w:t>
      </w:r>
    </w:p>
    <w:p/>
    <w:p>
      <w:pPr>
        <w:pStyle w:val="Heading1"/>
      </w:pPr>
      <w:r>
        <w:t>2. Literature and conceptual framework</w:t>
      </w:r>
    </w:p>
    <w:p>
      <w:r>
        <w:t>Researcher mobility has long been studied under the headings of brain drain, brain circulation and brain gain</w:t>
      </w:r>
      <w:r>
        <w:rPr>
          <w:vertAlign w:val="superscript"/>
        </w:rPr>
        <w:t xml:space="preserve"> [7]</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 xml:space="preserve"> [7]</w:t>
      </w:r>
      <w:r>
        <w:t>. Appelt et al., using a gravity framework for 1996-2011, find that scientific collaboration, economic convergence and visa restrictions are the strongest correlates of bilateral mobility</w:t>
      </w:r>
      <w:r>
        <w:rPr>
          <w:vertAlign w:val="superscript"/>
        </w:rPr>
        <w:t xml:space="preserve"> [2]</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 xml:space="preserve"> [1]</w:t>
      </w:r>
      <w:r>
        <w:t>. AlShebli et al. show that U.S.-China collaboration in AI is more impactful than either country working alone, and that most mobile AI scientists retain collaboration links with their origin country</w:t>
      </w:r>
      <w:r>
        <w:rPr>
          <w:vertAlign w:val="superscript"/>
        </w:rPr>
        <w:t xml:space="preserve"> [8]</w:t>
      </w:r>
      <w:r>
        <w:t>. Yuan et al. find that the brain-drain problem for AI scientists is increasingly serious in developing countries, and that the ties among AI elites are highly clustered</w:t>
      </w:r>
      <w:r>
        <w:rPr>
          <w:vertAlign w:val="superscript"/>
        </w:rPr>
        <w:t xml:space="preserve"> [9]</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 xml:space="preserve"> [10]</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The largest positive transition lever is domestic hit generation (h_D), followed by principal-investigator promotion (p_D). H4: Smaller civilisations, and those with older cohort structures, sit closer to their PNR.</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 xml:space="preserve"> [5]</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 xml:space="preserve"> [11]</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 xml:space="preserve"> [12]</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 xml:space="preserve"> [10]</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PNR.</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 xml:space="preserve"> [3]</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 xml:space="preserve"> [4]</w:t>
      </w:r>
      <w:r>
        <w:t>. It also draws on the innovation-systems literature, in which technological trajectories are shaped by sectoral and national systems of innovation</w:t>
      </w:r>
      <w:r>
        <w:rPr>
          <w:vertAlign w:val="superscript"/>
        </w:rPr>
        <w:t xml:space="preserve"> [13]</w:t>
      </w:r>
      <w:r>
        <w:rPr>
          <w:vertAlign w:val="superscript"/>
        </w:rPr>
        <w:t xml:space="preserve"> [14]</w:t>
      </w:r>
      <w:r>
        <w:rPr>
          <w:vertAlign w:val="superscript"/>
        </w:rPr>
        <w:t xml:space="preserve"> [15]</w:t>
      </w:r>
      <w:r>
        <w:rPr>
          <w:vertAlign w:val="superscript"/>
        </w:rPr>
        <w:t xml:space="preserve"> [16]</w:t>
      </w:r>
      <w:r>
        <w:t>. In that view, technological change is path-dependent and distributed: routines, organisations and institutions co-evolve, so the loss of a research community is not merely a decline in headcount but a reduction in the variety from which future trajectories can be generated. The PNR is therefore an innovation-systems problem: once a community falls below the minimum scale needed to sustain distinct research programmes, the path-dependent process of search and selection that produces new trajectories is impaired. This connects that macro-level, innovation-systems view of path-dependent technological change to individual career-transition data: the transition rates and PNR distances reported below can be read as an empirical early-warning indicator of whether a particular civilisational innovation system retains enough researchers to sustain a distinct technological trajectory.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 xml:space="preserve"> [6]</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The cohort is restricted to authors whose career-start year (first observed AI/ML publication year) is between 2000 and 2016 and who have at least two AI/ML works in the 2000-2023 window. An author is treated as active if they have at least one AI/ML work in 2020-2023, and as having dropped out otherwise. An author is classified as a principal investigator (PI) if their first last-author paper appears during the observation window; single-authored papers are treated as last-author papers so that culturally varying coauthorship norms do not bias the seniority proxy</w:t>
      </w:r>
      <w:r>
        <w:rPr>
          <w:vertAlign w:val="superscript"/>
        </w:rPr>
        <w:t xml:space="preserve"> [3]</w:t>
      </w:r>
      <w:r>
        <w:t>. A 'hit' work is a paper whose citation count places it in the top 10% of AI/ML works in the same publication year, observed within the first eight career years, regardless of the author's position on the author list. The abroad flag is set if the author is affiliated with a non-origin civilisation within the first six career years.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These civilisation labels are operational categories based on observed publication-affiliation patterns; they are not normative claims about cultural or political identity, and they are reported in full in Supplementary Material.</w:t>
      </w:r>
    </w:p>
    <w:p>
      <w:pPr>
        <w:pStyle w:val="Heading2"/>
      </w:pPr>
      <w:r>
        <w:t>3.2 Sample selection and variable definitions</w:t>
      </w:r>
    </w:p>
    <w:p>
      <w:r>
        <w:t>Authors enter the cohort if their first observed AI/ML publication year is between 2000 and 2016 and they have at least two AI/ML works in the 2000-2023 observation window.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An author is active if they have at least one AI/ML work in 2020-2023; otherwise they are recorded as having dropped out. A hit is a paper in the top 10% of AI/ML citations for its publication year, observed within the first eight career years, regardless of the author's position. A PI is an author whose first last-author paper appears during the observation window; single-authored papers are treated as last-author papers. The abroad flag is set if the author appears in a non-origin civilisation within the first six career years. The final cohort of 723,647 authors is a model-implied sample extracted from OpenAlex; the objective is to build a reproducible pipeline and demonstrate the transition-rate framework, not to provide a definitive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of 723,647 authors is a model-implied sample extracted from the OpenAlex snapshot; absolute counts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64122</w:t>
            </w:r>
          </w:p>
        </w:tc>
        <w:tc>
          <w:tcPr>
            <w:tcW w:type="dxa" w:w="1080"/>
          </w:tcPr>
          <w:p>
            <w:r>
              <w:t>700342</w:t>
            </w:r>
          </w:p>
        </w:tc>
        <w:tc>
          <w:tcPr>
            <w:tcW w:type="dxa" w:w="1080"/>
          </w:tcPr>
          <w:p>
            <w:r>
              <w:t>28218</w:t>
            </w:r>
          </w:p>
        </w:tc>
        <w:tc>
          <w:tcPr>
            <w:tcW w:type="dxa" w:w="1080"/>
          </w:tcPr>
          <w:p>
            <w:r>
              <w:t>35822</w:t>
            </w:r>
          </w:p>
        </w:tc>
        <w:tc>
          <w:tcPr>
            <w:tcW w:type="dxa" w:w="1080"/>
          </w:tcPr>
          <w:p>
            <w:r>
              <w:t>43628</w:t>
            </w:r>
          </w:p>
        </w:tc>
        <w:tc>
          <w:tcPr>
            <w:tcW w:type="dxa" w:w="1080"/>
          </w:tcPr>
          <w:p>
            <w:r>
              <w:t>2007.3</w:t>
            </w:r>
          </w:p>
        </w:tc>
        <w:tc>
          <w:tcPr>
            <w:tcW w:type="dxa" w:w="1080"/>
          </w:tcPr>
          <w:p>
            <w:r>
              <w:t>16233</w:t>
            </w:r>
          </w:p>
        </w:tc>
      </w:tr>
      <w:tr>
        <w:tc>
          <w:tcPr>
            <w:tcW w:type="dxa" w:w="1080"/>
          </w:tcPr>
          <w:p>
            <w:r>
              <w:t>Continental Europe</w:t>
            </w:r>
          </w:p>
        </w:tc>
        <w:tc>
          <w:tcPr>
            <w:tcW w:type="dxa" w:w="1080"/>
          </w:tcPr>
          <w:p>
            <w:r>
              <w:t>168911</w:t>
            </w:r>
          </w:p>
        </w:tc>
        <w:tc>
          <w:tcPr>
            <w:tcW w:type="dxa" w:w="1080"/>
          </w:tcPr>
          <w:p>
            <w:r>
              <w:t>1766329</w:t>
            </w:r>
          </w:p>
        </w:tc>
        <w:tc>
          <w:tcPr>
            <w:tcW w:type="dxa" w:w="1080"/>
          </w:tcPr>
          <w:p>
            <w:r>
              <w:t>74004</w:t>
            </w:r>
          </w:p>
        </w:tc>
        <w:tc>
          <w:tcPr>
            <w:tcW w:type="dxa" w:w="1080"/>
          </w:tcPr>
          <w:p>
            <w:r>
              <w:t>90322</w:t>
            </w:r>
          </w:p>
        </w:tc>
        <w:tc>
          <w:tcPr>
            <w:tcW w:type="dxa" w:w="1080"/>
          </w:tcPr>
          <w:p>
            <w:r>
              <w:t>111466</w:t>
            </w:r>
          </w:p>
        </w:tc>
        <w:tc>
          <w:tcPr>
            <w:tcW w:type="dxa" w:w="1080"/>
          </w:tcPr>
          <w:p>
            <w:r>
              <w:t>2008.0</w:t>
            </w:r>
          </w:p>
        </w:tc>
        <w:tc>
          <w:tcPr>
            <w:tcW w:type="dxa" w:w="1080"/>
          </w:tcPr>
          <w:p>
            <w:r>
              <w:t>26060</w:t>
            </w:r>
          </w:p>
        </w:tc>
      </w:tr>
      <w:tr>
        <w:tc>
          <w:tcPr>
            <w:tcW w:type="dxa" w:w="1080"/>
          </w:tcPr>
          <w:p>
            <w:r>
              <w:t>Hindu</w:t>
            </w:r>
          </w:p>
        </w:tc>
        <w:tc>
          <w:tcPr>
            <w:tcW w:type="dxa" w:w="1080"/>
          </w:tcPr>
          <w:p>
            <w:r>
              <w:t>28069</w:t>
            </w:r>
          </w:p>
        </w:tc>
        <w:tc>
          <w:tcPr>
            <w:tcW w:type="dxa" w:w="1080"/>
          </w:tcPr>
          <w:p>
            <w:r>
              <w:t>225684</w:t>
            </w:r>
          </w:p>
        </w:tc>
        <w:tc>
          <w:tcPr>
            <w:tcW w:type="dxa" w:w="1080"/>
          </w:tcPr>
          <w:p>
            <w:r>
              <w:t>17047</w:t>
            </w:r>
          </w:p>
        </w:tc>
        <w:tc>
          <w:tcPr>
            <w:tcW w:type="dxa" w:w="1080"/>
          </w:tcPr>
          <w:p>
            <w:r>
              <w:t>12043</w:t>
            </w:r>
          </w:p>
        </w:tc>
        <w:tc>
          <w:tcPr>
            <w:tcW w:type="dxa" w:w="1080"/>
          </w:tcPr>
          <w:p>
            <w:r>
              <w:t>19185</w:t>
            </w:r>
          </w:p>
        </w:tc>
        <w:tc>
          <w:tcPr>
            <w:tcW w:type="dxa" w:w="1080"/>
          </w:tcPr>
          <w:p>
            <w:r>
              <w:t>2011.3</w:t>
            </w:r>
          </w:p>
        </w:tc>
        <w:tc>
          <w:tcPr>
            <w:tcW w:type="dxa" w:w="1080"/>
          </w:tcPr>
          <w:p>
            <w:r>
              <w:t>4289</w:t>
            </w:r>
          </w:p>
        </w:tc>
      </w:tr>
      <w:tr>
        <w:tc>
          <w:tcPr>
            <w:tcW w:type="dxa" w:w="1080"/>
          </w:tcPr>
          <w:p>
            <w:r>
              <w:t>Islamic</w:t>
            </w:r>
          </w:p>
        </w:tc>
        <w:tc>
          <w:tcPr>
            <w:tcW w:type="dxa" w:w="1080"/>
          </w:tcPr>
          <w:p>
            <w:r>
              <w:t>51043</w:t>
            </w:r>
          </w:p>
        </w:tc>
        <w:tc>
          <w:tcPr>
            <w:tcW w:type="dxa" w:w="1080"/>
          </w:tcPr>
          <w:p>
            <w:r>
              <w:t>387001</w:t>
            </w:r>
          </w:p>
        </w:tc>
        <w:tc>
          <w:tcPr>
            <w:tcW w:type="dxa" w:w="1080"/>
          </w:tcPr>
          <w:p>
            <w:r>
              <w:t>29703</w:t>
            </w:r>
          </w:p>
        </w:tc>
        <w:tc>
          <w:tcPr>
            <w:tcW w:type="dxa" w:w="1080"/>
          </w:tcPr>
          <w:p>
            <w:r>
              <w:t>20435</w:t>
            </w:r>
          </w:p>
        </w:tc>
        <w:tc>
          <w:tcPr>
            <w:tcW w:type="dxa" w:w="1080"/>
          </w:tcPr>
          <w:p>
            <w:r>
              <w:t>35558</w:t>
            </w:r>
          </w:p>
        </w:tc>
        <w:tc>
          <w:tcPr>
            <w:tcW w:type="dxa" w:w="1080"/>
          </w:tcPr>
          <w:p>
            <w:r>
              <w:t>2011.4</w:t>
            </w:r>
          </w:p>
        </w:tc>
        <w:tc>
          <w:tcPr>
            <w:tcW w:type="dxa" w:w="1080"/>
          </w:tcPr>
          <w:p>
            <w:r>
              <w:t>8131</w:t>
            </w:r>
          </w:p>
        </w:tc>
      </w:tr>
      <w:tr>
        <w:tc>
          <w:tcPr>
            <w:tcW w:type="dxa" w:w="1080"/>
          </w:tcPr>
          <w:p>
            <w:r>
              <w:t>Japanese</w:t>
            </w:r>
          </w:p>
        </w:tc>
        <w:tc>
          <w:tcPr>
            <w:tcW w:type="dxa" w:w="1080"/>
          </w:tcPr>
          <w:p>
            <w:r>
              <w:t>32007</w:t>
            </w:r>
          </w:p>
        </w:tc>
        <w:tc>
          <w:tcPr>
            <w:tcW w:type="dxa" w:w="1080"/>
          </w:tcPr>
          <w:p>
            <w:r>
              <w:t>293437</w:t>
            </w:r>
          </w:p>
        </w:tc>
        <w:tc>
          <w:tcPr>
            <w:tcW w:type="dxa" w:w="1080"/>
          </w:tcPr>
          <w:p>
            <w:r>
              <w:t>11846</w:t>
            </w:r>
          </w:p>
        </w:tc>
        <w:tc>
          <w:tcPr>
            <w:tcW w:type="dxa" w:w="1080"/>
          </w:tcPr>
          <w:p>
            <w:r>
              <w:t>9915</w:t>
            </w:r>
          </w:p>
        </w:tc>
        <w:tc>
          <w:tcPr>
            <w:tcW w:type="dxa" w:w="1080"/>
          </w:tcPr>
          <w:p>
            <w:r>
              <w:t>18543</w:t>
            </w:r>
          </w:p>
        </w:tc>
        <w:tc>
          <w:tcPr>
            <w:tcW w:type="dxa" w:w="1080"/>
          </w:tcPr>
          <w:p>
            <w:r>
              <w:t>2006.7</w:t>
            </w:r>
          </w:p>
        </w:tc>
        <w:tc>
          <w:tcPr>
            <w:tcW w:type="dxa" w:w="1080"/>
          </w:tcPr>
          <w:p>
            <w:r>
              <w:t>4417</w:t>
            </w:r>
          </w:p>
        </w:tc>
      </w:tr>
      <w:tr>
        <w:tc>
          <w:tcPr>
            <w:tcW w:type="dxa" w:w="1080"/>
          </w:tcPr>
          <w:p>
            <w:r>
              <w:t>Other Civilizations</w:t>
            </w:r>
          </w:p>
        </w:tc>
        <w:tc>
          <w:tcPr>
            <w:tcW w:type="dxa" w:w="1080"/>
          </w:tcPr>
          <w:p>
            <w:r>
              <w:t>50240</w:t>
            </w:r>
          </w:p>
        </w:tc>
        <w:tc>
          <w:tcPr>
            <w:tcW w:type="dxa" w:w="1080"/>
          </w:tcPr>
          <w:p>
            <w:r>
              <w:t>371952</w:t>
            </w:r>
          </w:p>
        </w:tc>
        <w:tc>
          <w:tcPr>
            <w:tcW w:type="dxa" w:w="1080"/>
          </w:tcPr>
          <w:p>
            <w:r>
              <w:t>23671</w:t>
            </w:r>
          </w:p>
        </w:tc>
        <w:tc>
          <w:tcPr>
            <w:tcW w:type="dxa" w:w="1080"/>
          </w:tcPr>
          <w:p>
            <w:r>
              <w:t>17128</w:t>
            </w:r>
          </w:p>
        </w:tc>
        <w:tc>
          <w:tcPr>
            <w:tcW w:type="dxa" w:w="1080"/>
          </w:tcPr>
          <w:p>
            <w:r>
              <w:t>32449</w:t>
            </w:r>
          </w:p>
        </w:tc>
        <w:tc>
          <w:tcPr>
            <w:tcW w:type="dxa" w:w="1080"/>
          </w:tcPr>
          <w:p>
            <w:r>
              <w:t>2009.2</w:t>
            </w:r>
          </w:p>
        </w:tc>
        <w:tc>
          <w:tcPr>
            <w:tcW w:type="dxa" w:w="1080"/>
          </w:tcPr>
          <w:p>
            <w:r>
              <w:t>9136</w:t>
            </w:r>
          </w:p>
        </w:tc>
      </w:tr>
      <w:tr>
        <w:tc>
          <w:tcPr>
            <w:tcW w:type="dxa" w:w="1080"/>
          </w:tcPr>
          <w:p>
            <w:r>
              <w:t>Other Western</w:t>
            </w:r>
          </w:p>
        </w:tc>
        <w:tc>
          <w:tcPr>
            <w:tcW w:type="dxa" w:w="1080"/>
          </w:tcPr>
          <w:p>
            <w:r>
              <w:t>4397</w:t>
            </w:r>
          </w:p>
        </w:tc>
        <w:tc>
          <w:tcPr>
            <w:tcW w:type="dxa" w:w="1080"/>
          </w:tcPr>
          <w:p>
            <w:r>
              <w:t>49748</w:t>
            </w:r>
          </w:p>
        </w:tc>
        <w:tc>
          <w:tcPr>
            <w:tcW w:type="dxa" w:w="1080"/>
          </w:tcPr>
          <w:p>
            <w:r>
              <w:t>1981</w:t>
            </w:r>
          </w:p>
        </w:tc>
        <w:tc>
          <w:tcPr>
            <w:tcW w:type="dxa" w:w="1080"/>
          </w:tcPr>
          <w:p>
            <w:r>
              <w:t>2646</w:t>
            </w:r>
          </w:p>
        </w:tc>
        <w:tc>
          <w:tcPr>
            <w:tcW w:type="dxa" w:w="1080"/>
          </w:tcPr>
          <w:p>
            <w:r>
              <w:t>2848</w:t>
            </w:r>
          </w:p>
        </w:tc>
        <w:tc>
          <w:tcPr>
            <w:tcW w:type="dxa" w:w="1080"/>
          </w:tcPr>
          <w:p>
            <w:r>
              <w:t>2007.4</w:t>
            </w:r>
          </w:p>
        </w:tc>
        <w:tc>
          <w:tcPr>
            <w:tcW w:type="dxa" w:w="1080"/>
          </w:tcPr>
          <w:p>
            <w:r>
              <w:t>1414</w:t>
            </w:r>
          </w:p>
        </w:tc>
      </w:tr>
      <w:tr>
        <w:tc>
          <w:tcPr>
            <w:tcW w:type="dxa" w:w="1080"/>
          </w:tcPr>
          <w:p>
            <w:r>
              <w:t>Sinic</w:t>
            </w:r>
          </w:p>
        </w:tc>
        <w:tc>
          <w:tcPr>
            <w:tcW w:type="dxa" w:w="1080"/>
          </w:tcPr>
          <w:p>
            <w:r>
              <w:t>190051</w:t>
            </w:r>
          </w:p>
        </w:tc>
        <w:tc>
          <w:tcPr>
            <w:tcW w:type="dxa" w:w="1080"/>
          </w:tcPr>
          <w:p>
            <w:r>
              <w:t>1589023</w:t>
            </w:r>
          </w:p>
        </w:tc>
        <w:tc>
          <w:tcPr>
            <w:tcW w:type="dxa" w:w="1080"/>
          </w:tcPr>
          <w:p>
            <w:r>
              <w:t>103673</w:t>
            </w:r>
          </w:p>
        </w:tc>
        <w:tc>
          <w:tcPr>
            <w:tcW w:type="dxa" w:w="1080"/>
          </w:tcPr>
          <w:p>
            <w:r>
              <w:t>61738</w:t>
            </w:r>
          </w:p>
        </w:tc>
        <w:tc>
          <w:tcPr>
            <w:tcW w:type="dxa" w:w="1080"/>
          </w:tcPr>
          <w:p>
            <w:r>
              <w:t>140701</w:t>
            </w:r>
          </w:p>
        </w:tc>
        <w:tc>
          <w:tcPr>
            <w:tcW w:type="dxa" w:w="1080"/>
          </w:tcPr>
          <w:p>
            <w:r>
              <w:t>2008.7</w:t>
            </w:r>
          </w:p>
        </w:tc>
        <w:tc>
          <w:tcPr>
            <w:tcW w:type="dxa" w:w="1080"/>
          </w:tcPr>
          <w:p>
            <w:r>
              <w:t>23956</w:t>
            </w:r>
          </w:p>
        </w:tc>
      </w:tr>
      <w:tr>
        <w:tc>
          <w:tcPr>
            <w:tcW w:type="dxa" w:w="1080"/>
          </w:tcPr>
          <w:p>
            <w:r>
              <w:t>United States</w:t>
            </w:r>
          </w:p>
        </w:tc>
        <w:tc>
          <w:tcPr>
            <w:tcW w:type="dxa" w:w="1080"/>
          </w:tcPr>
          <w:p>
            <w:r>
              <w:t>134807</w:t>
            </w:r>
          </w:p>
        </w:tc>
        <w:tc>
          <w:tcPr>
            <w:tcW w:type="dxa" w:w="1080"/>
          </w:tcPr>
          <w:p>
            <w:r>
              <w:t>1298250</w:t>
            </w:r>
          </w:p>
        </w:tc>
        <w:tc>
          <w:tcPr>
            <w:tcW w:type="dxa" w:w="1080"/>
          </w:tcPr>
          <w:p>
            <w:r>
              <w:t>58969</w:t>
            </w:r>
          </w:p>
        </w:tc>
        <w:tc>
          <w:tcPr>
            <w:tcW w:type="dxa" w:w="1080"/>
          </w:tcPr>
          <w:p>
            <w:r>
              <w:t>74972</w:t>
            </w:r>
          </w:p>
        </w:tc>
        <w:tc>
          <w:tcPr>
            <w:tcW w:type="dxa" w:w="1080"/>
          </w:tcPr>
          <w:p>
            <w:r>
              <w:t>91029</w:t>
            </w:r>
          </w:p>
        </w:tc>
        <w:tc>
          <w:tcPr>
            <w:tcW w:type="dxa" w:w="1080"/>
          </w:tcPr>
          <w:p>
            <w:r>
              <w:t>2007.3</w:t>
            </w:r>
          </w:p>
        </w:tc>
        <w:tc>
          <w:tcPr>
            <w:tcW w:type="dxa" w:w="1080"/>
          </w:tcPr>
          <w:p>
            <w:r>
              <w:t>27420</w:t>
            </w:r>
          </w:p>
        </w:tc>
      </w:tr>
    </w:tbl>
    <w:p>
      <w:pPr>
        <w:jc w:val="center"/>
      </w:pPr>
      <w:r>
        <w:rPr>
          <w:i/>
        </w:rPr>
        <w:t>Table 1. Descriptive statistics for the extracted AI/ML cohort by civilisation group. Civilisation labels are operational aggregations of OpenAlex country-affiliation patterns and do not imply normative cultural or political classification.</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where I_0 is the exogenous entry rate, r is the PI reproduction rate, and r is capped at 0.50× the stability-critical value (safety factor 0.50); the most constrained fitted group realises 0.40×.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In this sense, falling below M is a sufficient condition for collapse, not a necessary one; external shocks can push a community below viability even when the equilibrium active pool remains above M.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using a Laplace pseudocount of 1 for each outcome so the smoothed proportion is (successes + 1)/(n + 2).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T reaches its coauthor threshold M, or the domestic PI pool P_D reaches k distinct last-author groups as a lower-bound PI-pool threshold,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2"/>
      </w:pPr>
      <w:r>
        <w:t>4.6 Annual transition-rate estimation and projection</w:t>
      </w:r>
    </w:p>
    <w:p>
      <w:r>
        <w:t>The steady-state model in Sections 4.1-4.4 treats rates as constants. To test whether the same framework can be used for short-run monitoring, we reconstructed year-by-year compartment membership from the cohort data. For each author and year we inferred location as domestic if the author was in the origin civilisation and abroad otherwise. From these states we computed annual transition counts for the six compartments, applied Laplace smoothing with a pseudocount of 1 for each possible destination, and derived the probabilities that map to α, β, h_D, h_A and p_D, p_A. Dropout (d) is not directly observed year-by-year in the training window because final attrition is right-censored before 2023, so we import the cohort-level per-year hazard from the full-career data and treat it as a constant annual rate for each group. Inter-civilisation flows are approximated by assigning each abroad author-year to the author's recent_group as the destination civilisation.</w:t>
      </w:r>
    </w:p>
    <w:p>
      <w:r>
        <w:t>For the 2017-2026 projection we fit a linear trend to the observed 2000-2016 rates for each group and rate. If fewer than four observations were available or the fit explained less than 10% of the variance, the historical mean was used instead. Projected rates were clipped to values between 0 and 1. Projected annual dropout was capped at 1.5 times the 90th percentile of observed annual dropout rates in the 2000-2016 training period. Projected total inflows were apportioned across compartments using the first-compartment distribution observed over the 2000-2016 training period. Population composition was projected forward with the discrete-time recursion N(t+1) = N(t)P(t) + b(t+1), where P(t) is a 6×6 row-stochastic-in-expectation matrix that preserves dropout mass: the row sum is 1 − d after scaling outgoing rates. This discrete step is the operational counterpart of the continuous-time ODE; with an annual dt it provides an early-warning signal one year ahead.</w:t>
      </w:r>
    </w:p>
    <w:p>
      <w:r>
        <w:t>We compare the 2017-2023 projection with the observed annual stock. The comparison is limited to years that have observed data, and the observed stock is reindexed to the full group-year-compartment grid so that zero-observed cells are not omitted from the accuracy metrics. Accuracy is reported as root mean square error (RMSE) and mean absolute percentage error (MAPE); MAPE here is computed against count_obs + 1 to avoid division by zero and is therefore a conservative, non-standard measure.</w:t>
      </w:r>
    </w:p>
    <w:p>
      <w:pPr>
        <w:pStyle w:val="Heading2"/>
      </w:pPr>
      <w:r>
        <w:t>4.7 Correction pressures and theoretical bounds</w:t>
      </w:r>
    </w:p>
    <w:p>
      <w:r>
        <w:t>The annual estimates contain several regularising pressures that bound the model away from instability and fabrication. Laplace smoothing adds a uniform prior of 1 to every possible destination, which shrinks sparse cells toward 1/(number of destinations) and prevents zero-probability singularities when a transition is unobserved in a small group-year. It is equivalent to a weak Dirichlet prior and is a standard regulariser for sparse multinomial transitions.</w:t>
      </w:r>
    </w:p>
    <w:p>
      <w:r>
        <w:t>Clipping projected rates to values between 0 and 1 is a feasibility pressure: rates outside the probability simplex are inadmissible. The annual dropout rate is anchored to the cohort-level per-year hazard rather than extrapolated from year-to-year transitions, because final attrition is right-censored in the training window. The inflow apportionment pressure keeps the composition of new entrants aligned with the most recently observed recruitment pattern, rather than inventing a new distribution. Finally, the endogenous inflow is capped at a safety factor of 0.50 relative to the critical reproduction rate (the most constrained fitted group realises 0.40), which keeps the system inside the stability boundary. Together these pressures embody the principle that projection should stay within observed empirical support and within theoretical stability limits; they are not arbitrary adjustments but transparent bounds that can be tightened or relaxed as more data become available.</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Continental Europe, United States groups show the largest equilibrium active pools, reflecting large cohorts and relatively low coauthor-intensity thresholds. The Other Western group has the smallest equilibrium active pool, and Other Western has the narrowest safety margin, although both still exceed their minimum viable coauthor pool. The ratio T/M is a summary resilience indicator, but absolute margin is the more direct measure of proximity to the PNR.</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Group</w:t>
            </w:r>
          </w:p>
        </w:tc>
        <w:tc>
          <w:tcPr>
            <w:tcW w:type="dxa" w:w="960"/>
          </w:tcPr>
          <w:p>
            <w:r>
              <w:rPr>
                <w:b/>
              </w:rPr>
              <w:t>T_eq</w:t>
            </w:r>
          </w:p>
        </w:tc>
        <w:tc>
          <w:tcPr>
            <w:tcW w:type="dxa" w:w="960"/>
          </w:tcPr>
          <w:p>
            <w:r>
              <w:rPr>
                <w:b/>
              </w:rPr>
              <w:t>M</w:t>
            </w:r>
          </w:p>
        </w:tc>
        <w:tc>
          <w:tcPr>
            <w:tcW w:type="dxa" w:w="960"/>
          </w:tcPr>
          <w:p>
            <w:r>
              <w:rPr>
                <w:b/>
              </w:rPr>
              <w:t>Margin</w:t>
            </w:r>
          </w:p>
        </w:tc>
        <w:tc>
          <w:tcPr>
            <w:tcW w:type="dxa" w:w="960"/>
          </w:tcPr>
          <w:p>
            <w:r>
              <w:rPr>
                <w:b/>
              </w:rPr>
              <w:t>I0</w:t>
            </w:r>
          </w:p>
        </w:tc>
        <w:tc>
          <w:tcPr>
            <w:tcW w:type="dxa" w:w="960"/>
          </w:tcPr>
          <w:p>
            <w:r>
              <w:rPr>
                <w:b/>
              </w:rPr>
              <w:t>r</w:t>
            </w:r>
          </w:p>
        </w:tc>
        <w:tc>
          <w:tcPr>
            <w:tcW w:type="dxa" w:w="960"/>
          </w:tcPr>
          <w:p>
            <w:r>
              <w:rPr>
                <w:b/>
              </w:rPr>
              <w:t>r_obs</w:t>
            </w:r>
          </w:p>
        </w:tc>
        <w:tc>
          <w:tcPr>
            <w:tcW w:type="dxa" w:w="960"/>
          </w:tcPr>
          <w:p>
            <w:r>
              <w:rPr>
                <w:b/>
              </w:rPr>
              <w:t>r_crit</w:t>
            </w:r>
          </w:p>
        </w:tc>
        <w:tc>
          <w:tcPr>
            <w:tcW w:type="dxa" w:w="960"/>
          </w:tcPr>
          <w:p>
            <w:r>
              <w:rPr>
                <w:b/>
              </w:rPr>
              <w:t>T/M</w:t>
            </w:r>
          </w:p>
        </w:tc>
      </w:tr>
      <w:tr>
        <w:tc>
          <w:tcPr>
            <w:tcW w:type="dxa" w:w="960"/>
          </w:tcPr>
          <w:p>
            <w:r>
              <w:t>Anglosphere ex-US</w:t>
            </w:r>
          </w:p>
        </w:tc>
        <w:tc>
          <w:tcPr>
            <w:tcW w:type="dxa" w:w="960"/>
          </w:tcPr>
          <w:p>
            <w:r>
              <w:t>67532</w:t>
            </w:r>
          </w:p>
        </w:tc>
        <w:tc>
          <w:tcPr>
            <w:tcW w:type="dxa" w:w="960"/>
          </w:tcPr>
          <w:p>
            <w:r>
              <w:t>3183</w:t>
            </w:r>
          </w:p>
        </w:tc>
        <w:tc>
          <w:tcPr>
            <w:tcW w:type="dxa" w:w="960"/>
          </w:tcPr>
          <w:p>
            <w:r>
              <w:t>64348</w:t>
            </w:r>
          </w:p>
        </w:tc>
        <w:tc>
          <w:tcPr>
            <w:tcW w:type="dxa" w:w="960"/>
          </w:tcPr>
          <w:p>
            <w:r>
              <w:t>1886</w:t>
            </w:r>
          </w:p>
        </w:tc>
        <w:tc>
          <w:tcPr>
            <w:tcW w:type="dxa" w:w="960"/>
          </w:tcPr>
          <w:p>
            <w:r>
              <w:t>0.06326</w:t>
            </w:r>
          </w:p>
        </w:tc>
        <w:tc>
          <w:tcPr>
            <w:tcW w:type="dxa" w:w="960"/>
          </w:tcPr>
          <w:p>
            <w:r>
              <w:t>0.08646</w:t>
            </w:r>
          </w:p>
        </w:tc>
        <w:tc>
          <w:tcPr>
            <w:tcW w:type="dxa" w:w="960"/>
          </w:tcPr>
          <w:p>
            <w:r>
              <w:t>0.12652</w:t>
            </w:r>
          </w:p>
        </w:tc>
        <w:tc>
          <w:tcPr>
            <w:tcW w:type="dxa" w:w="960"/>
          </w:tcPr>
          <w:p>
            <w:r>
              <w:t>21.21</w:t>
            </w:r>
          </w:p>
        </w:tc>
      </w:tr>
      <w:tr>
        <w:tc>
          <w:tcPr>
            <w:tcW w:type="dxa" w:w="960"/>
          </w:tcPr>
          <w:p>
            <w:r>
              <w:t>Continental Europe</w:t>
            </w:r>
          </w:p>
        </w:tc>
        <w:tc>
          <w:tcPr>
            <w:tcW w:type="dxa" w:w="960"/>
          </w:tcPr>
          <w:p>
            <w:r>
              <w:t>195095</w:t>
            </w:r>
          </w:p>
        </w:tc>
        <w:tc>
          <w:tcPr>
            <w:tcW w:type="dxa" w:w="960"/>
          </w:tcPr>
          <w:p>
            <w:r>
              <w:t>3923</w:t>
            </w:r>
          </w:p>
        </w:tc>
        <w:tc>
          <w:tcPr>
            <w:tcW w:type="dxa" w:w="960"/>
          </w:tcPr>
          <w:p>
            <w:r>
              <w:t>191172</w:t>
            </w:r>
          </w:p>
        </w:tc>
        <w:tc>
          <w:tcPr>
            <w:tcW w:type="dxa" w:w="960"/>
          </w:tcPr>
          <w:p>
            <w:r>
              <w:t>4968</w:t>
            </w:r>
          </w:p>
        </w:tc>
        <w:tc>
          <w:tcPr>
            <w:tcW w:type="dxa" w:w="960"/>
          </w:tcPr>
          <w:p>
            <w:r>
              <w:t>0.05949</w:t>
            </w:r>
          </w:p>
        </w:tc>
        <w:tc>
          <w:tcPr>
            <w:tcW w:type="dxa" w:w="960"/>
          </w:tcPr>
          <w:p>
            <w:r>
              <w:t>0.08914</w:t>
            </w:r>
          </w:p>
        </w:tc>
        <w:tc>
          <w:tcPr>
            <w:tcW w:type="dxa" w:w="960"/>
          </w:tcPr>
          <w:p>
            <w:r>
              <w:t>0.11899</w:t>
            </w:r>
          </w:p>
        </w:tc>
        <w:tc>
          <w:tcPr>
            <w:tcW w:type="dxa" w:w="960"/>
          </w:tcPr>
          <w:p>
            <w:r>
              <w:t>49.72</w:t>
            </w:r>
          </w:p>
        </w:tc>
      </w:tr>
      <w:tr>
        <w:tc>
          <w:tcPr>
            <w:tcW w:type="dxa" w:w="960"/>
          </w:tcPr>
          <w:p>
            <w:r>
              <w:t>Hindu</w:t>
            </w:r>
          </w:p>
        </w:tc>
        <w:tc>
          <w:tcPr>
            <w:tcW w:type="dxa" w:w="960"/>
          </w:tcPr>
          <w:p>
            <w:r>
              <w:t>53434</w:t>
            </w:r>
          </w:p>
        </w:tc>
        <w:tc>
          <w:tcPr>
            <w:tcW w:type="dxa" w:w="960"/>
          </w:tcPr>
          <w:p>
            <w:r>
              <w:t>2249</w:t>
            </w:r>
          </w:p>
        </w:tc>
        <w:tc>
          <w:tcPr>
            <w:tcW w:type="dxa" w:w="960"/>
          </w:tcPr>
          <w:p>
            <w:r>
              <w:t>51185</w:t>
            </w:r>
          </w:p>
        </w:tc>
        <w:tc>
          <w:tcPr>
            <w:tcW w:type="dxa" w:w="960"/>
          </w:tcPr>
          <w:p>
            <w:r>
              <w:t>826</w:t>
            </w:r>
          </w:p>
        </w:tc>
        <w:tc>
          <w:tcPr>
            <w:tcW w:type="dxa" w:w="960"/>
          </w:tcPr>
          <w:p>
            <w:r>
              <w:t>0.02729</w:t>
            </w:r>
          </w:p>
        </w:tc>
        <w:tc>
          <w:tcPr>
            <w:tcW w:type="dxa" w:w="960"/>
          </w:tcPr>
          <w:p>
            <w:r>
              <w:t>0.08606</w:t>
            </w:r>
          </w:p>
        </w:tc>
        <w:tc>
          <w:tcPr>
            <w:tcW w:type="dxa" w:w="960"/>
          </w:tcPr>
          <w:p>
            <w:r>
              <w:t>0.05457</w:t>
            </w:r>
          </w:p>
        </w:tc>
        <w:tc>
          <w:tcPr>
            <w:tcW w:type="dxa" w:w="960"/>
          </w:tcPr>
          <w:p>
            <w:r>
              <w:t>23.76</w:t>
            </w:r>
          </w:p>
        </w:tc>
      </w:tr>
      <w:tr>
        <w:tc>
          <w:tcPr>
            <w:tcW w:type="dxa" w:w="960"/>
          </w:tcPr>
          <w:p>
            <w:r>
              <w:t>Islamic</w:t>
            </w:r>
          </w:p>
        </w:tc>
        <w:tc>
          <w:tcPr>
            <w:tcW w:type="dxa" w:w="960"/>
          </w:tcPr>
          <w:p>
            <w:r>
              <w:t>88522</w:t>
            </w:r>
          </w:p>
        </w:tc>
        <w:tc>
          <w:tcPr>
            <w:tcW w:type="dxa" w:w="960"/>
          </w:tcPr>
          <w:p>
            <w:r>
              <w:t>2255</w:t>
            </w:r>
          </w:p>
        </w:tc>
        <w:tc>
          <w:tcPr>
            <w:tcW w:type="dxa" w:w="960"/>
          </w:tcPr>
          <w:p>
            <w:r>
              <w:t>86267</w:t>
            </w:r>
          </w:p>
        </w:tc>
        <w:tc>
          <w:tcPr>
            <w:tcW w:type="dxa" w:w="960"/>
          </w:tcPr>
          <w:p>
            <w:r>
              <w:t>1501</w:t>
            </w:r>
          </w:p>
        </w:tc>
        <w:tc>
          <w:tcPr>
            <w:tcW w:type="dxa" w:w="960"/>
          </w:tcPr>
          <w:p>
            <w:r>
              <w:t>0.03176</w:t>
            </w:r>
          </w:p>
        </w:tc>
        <w:tc>
          <w:tcPr>
            <w:tcW w:type="dxa" w:w="960"/>
          </w:tcPr>
          <w:p>
            <w:r>
              <w:t>0.08444</w:t>
            </w:r>
          </w:p>
        </w:tc>
        <w:tc>
          <w:tcPr>
            <w:tcW w:type="dxa" w:w="960"/>
          </w:tcPr>
          <w:p>
            <w:r>
              <w:t>0.06352</w:t>
            </w:r>
          </w:p>
        </w:tc>
        <w:tc>
          <w:tcPr>
            <w:tcW w:type="dxa" w:w="960"/>
          </w:tcPr>
          <w:p>
            <w:r>
              <w:t>39.26</w:t>
            </w:r>
          </w:p>
        </w:tc>
      </w:tr>
      <w:tr>
        <w:tc>
          <w:tcPr>
            <w:tcW w:type="dxa" w:w="960"/>
          </w:tcPr>
          <w:p>
            <w:r>
              <w:t>Japanese</w:t>
            </w:r>
          </w:p>
        </w:tc>
        <w:tc>
          <w:tcPr>
            <w:tcW w:type="dxa" w:w="960"/>
          </w:tcPr>
          <w:p>
            <w:r>
              <w:t>29332</w:t>
            </w:r>
          </w:p>
        </w:tc>
        <w:tc>
          <w:tcPr>
            <w:tcW w:type="dxa" w:w="960"/>
          </w:tcPr>
          <w:p>
            <w:r>
              <w:t>1793</w:t>
            </w:r>
          </w:p>
        </w:tc>
        <w:tc>
          <w:tcPr>
            <w:tcW w:type="dxa" w:w="960"/>
          </w:tcPr>
          <w:p>
            <w:r>
              <w:t>27539</w:t>
            </w:r>
          </w:p>
        </w:tc>
        <w:tc>
          <w:tcPr>
            <w:tcW w:type="dxa" w:w="960"/>
          </w:tcPr>
          <w:p>
            <w:r>
              <w:t>1134</w:t>
            </w:r>
          </w:p>
        </w:tc>
        <w:tc>
          <w:tcPr>
            <w:tcW w:type="dxa" w:w="960"/>
          </w:tcPr>
          <w:p>
            <w:r>
              <w:t>0.10154</w:t>
            </w:r>
          </w:p>
        </w:tc>
        <w:tc>
          <w:tcPr>
            <w:tcW w:type="dxa" w:w="960"/>
          </w:tcPr>
          <w:p>
            <w:r>
              <w:t>0.10154</w:t>
            </w:r>
          </w:p>
        </w:tc>
        <w:tc>
          <w:tcPr>
            <w:tcW w:type="dxa" w:w="960"/>
          </w:tcPr>
          <w:p>
            <w:r>
              <w:t>0.25545</w:t>
            </w:r>
          </w:p>
        </w:tc>
        <w:tc>
          <w:tcPr>
            <w:tcW w:type="dxa" w:w="960"/>
          </w:tcPr>
          <w:p>
            <w:r>
              <w:t>16.36</w:t>
            </w:r>
          </w:p>
        </w:tc>
      </w:tr>
      <w:tr>
        <w:tc>
          <w:tcPr>
            <w:tcW w:type="dxa" w:w="960"/>
          </w:tcPr>
          <w:p>
            <w:r>
              <w:t>Other Civilizations</w:t>
            </w:r>
          </w:p>
        </w:tc>
        <w:tc>
          <w:tcPr>
            <w:tcW w:type="dxa" w:w="960"/>
          </w:tcPr>
          <w:p>
            <w:r>
              <w:t>59355</w:t>
            </w:r>
          </w:p>
        </w:tc>
        <w:tc>
          <w:tcPr>
            <w:tcW w:type="dxa" w:w="960"/>
          </w:tcPr>
          <w:p>
            <w:r>
              <w:t>2069</w:t>
            </w:r>
          </w:p>
        </w:tc>
        <w:tc>
          <w:tcPr>
            <w:tcW w:type="dxa" w:w="960"/>
          </w:tcPr>
          <w:p>
            <w:r>
              <w:t>57286</w:t>
            </w:r>
          </w:p>
        </w:tc>
        <w:tc>
          <w:tcPr>
            <w:tcW w:type="dxa" w:w="960"/>
          </w:tcPr>
          <w:p>
            <w:r>
              <w:t>1478</w:t>
            </w:r>
          </w:p>
        </w:tc>
        <w:tc>
          <w:tcPr>
            <w:tcW w:type="dxa" w:w="960"/>
          </w:tcPr>
          <w:p>
            <w:r>
              <w:t>0.06620</w:t>
            </w:r>
          </w:p>
        </w:tc>
        <w:tc>
          <w:tcPr>
            <w:tcW w:type="dxa" w:w="960"/>
          </w:tcPr>
          <w:p>
            <w:r>
              <w:t>0.09108</w:t>
            </w:r>
          </w:p>
        </w:tc>
        <w:tc>
          <w:tcPr>
            <w:tcW w:type="dxa" w:w="960"/>
          </w:tcPr>
          <w:p>
            <w:r>
              <w:t>0.13240</w:t>
            </w:r>
          </w:p>
        </w:tc>
        <w:tc>
          <w:tcPr>
            <w:tcW w:type="dxa" w:w="960"/>
          </w:tcPr>
          <w:p>
            <w:r>
              <w:t>28.69</w:t>
            </w:r>
          </w:p>
        </w:tc>
      </w:tr>
      <w:tr>
        <w:tc>
          <w:tcPr>
            <w:tcW w:type="dxa" w:w="960"/>
          </w:tcPr>
          <w:p>
            <w:r>
              <w:t>Other Western</w:t>
            </w:r>
          </w:p>
        </w:tc>
        <w:tc>
          <w:tcPr>
            <w:tcW w:type="dxa" w:w="960"/>
          </w:tcPr>
          <w:p>
            <w:r>
              <w:t>4824</w:t>
            </w:r>
          </w:p>
        </w:tc>
        <w:tc>
          <w:tcPr>
            <w:tcW w:type="dxa" w:w="960"/>
          </w:tcPr>
          <w:p>
            <w:r>
              <w:t>1601</w:t>
            </w:r>
          </w:p>
        </w:tc>
        <w:tc>
          <w:tcPr>
            <w:tcW w:type="dxa" w:w="960"/>
          </w:tcPr>
          <w:p>
            <w:r>
              <w:t>3223</w:t>
            </w:r>
          </w:p>
        </w:tc>
        <w:tc>
          <w:tcPr>
            <w:tcW w:type="dxa" w:w="960"/>
          </w:tcPr>
          <w:p>
            <w:r>
              <w:t>129</w:t>
            </w:r>
          </w:p>
        </w:tc>
        <w:tc>
          <w:tcPr>
            <w:tcW w:type="dxa" w:w="960"/>
          </w:tcPr>
          <w:p>
            <w:r>
              <w:t>0.05992</w:t>
            </w:r>
          </w:p>
        </w:tc>
        <w:tc>
          <w:tcPr>
            <w:tcW w:type="dxa" w:w="960"/>
          </w:tcPr>
          <w:p>
            <w:r>
              <w:t>0.09082</w:t>
            </w:r>
          </w:p>
        </w:tc>
        <w:tc>
          <w:tcPr>
            <w:tcW w:type="dxa" w:w="960"/>
          </w:tcPr>
          <w:p>
            <w:r>
              <w:t>0.11984</w:t>
            </w:r>
          </w:p>
        </w:tc>
        <w:tc>
          <w:tcPr>
            <w:tcW w:type="dxa" w:w="960"/>
          </w:tcPr>
          <w:p>
            <w:r>
              <w:t>3.01</w:t>
            </w:r>
          </w:p>
        </w:tc>
      </w:tr>
      <w:tr>
        <w:tc>
          <w:tcPr>
            <w:tcW w:type="dxa" w:w="960"/>
          </w:tcPr>
          <w:p>
            <w:r>
              <w:t>Sinic</w:t>
            </w:r>
          </w:p>
        </w:tc>
        <w:tc>
          <w:tcPr>
            <w:tcW w:type="dxa" w:w="960"/>
          </w:tcPr>
          <w:p>
            <w:r>
              <w:t>303935</w:t>
            </w:r>
          </w:p>
        </w:tc>
        <w:tc>
          <w:tcPr>
            <w:tcW w:type="dxa" w:w="960"/>
          </w:tcPr>
          <w:p>
            <w:r>
              <w:t>3129</w:t>
            </w:r>
          </w:p>
        </w:tc>
        <w:tc>
          <w:tcPr>
            <w:tcW w:type="dxa" w:w="960"/>
          </w:tcPr>
          <w:p>
            <w:r>
              <w:t>300805</w:t>
            </w:r>
          </w:p>
        </w:tc>
        <w:tc>
          <w:tcPr>
            <w:tcW w:type="dxa" w:w="960"/>
          </w:tcPr>
          <w:p>
            <w:r>
              <w:t>5590</w:t>
            </w:r>
          </w:p>
        </w:tc>
        <w:tc>
          <w:tcPr>
            <w:tcW w:type="dxa" w:w="960"/>
          </w:tcPr>
          <w:p>
            <w:r>
              <w:t>0.04199</w:t>
            </w:r>
          </w:p>
        </w:tc>
        <w:tc>
          <w:tcPr>
            <w:tcW w:type="dxa" w:w="960"/>
          </w:tcPr>
          <w:p>
            <w:r>
              <w:t>0.07946</w:t>
            </w:r>
          </w:p>
        </w:tc>
        <w:tc>
          <w:tcPr>
            <w:tcW w:type="dxa" w:w="960"/>
          </w:tcPr>
          <w:p>
            <w:r>
              <w:t>0.08399</w:t>
            </w:r>
          </w:p>
        </w:tc>
        <w:tc>
          <w:tcPr>
            <w:tcW w:type="dxa" w:w="960"/>
          </w:tcPr>
          <w:p>
            <w:r>
              <w:t>97.12</w:t>
            </w:r>
          </w:p>
        </w:tc>
      </w:tr>
      <w:tr>
        <w:tc>
          <w:tcPr>
            <w:tcW w:type="dxa" w:w="960"/>
          </w:tcPr>
          <w:p>
            <w:r>
              <w:t>United States</w:t>
            </w:r>
          </w:p>
        </w:tc>
        <w:tc>
          <w:tcPr>
            <w:tcW w:type="dxa" w:w="960"/>
          </w:tcPr>
          <w:p>
            <w:r>
              <w:t>147067</w:t>
            </w:r>
          </w:p>
        </w:tc>
        <w:tc>
          <w:tcPr>
            <w:tcW w:type="dxa" w:w="960"/>
          </w:tcPr>
          <w:p>
            <w:r>
              <w:t>1844</w:t>
            </w:r>
          </w:p>
        </w:tc>
        <w:tc>
          <w:tcPr>
            <w:tcW w:type="dxa" w:w="960"/>
          </w:tcPr>
          <w:p>
            <w:r>
              <w:t>145223</w:t>
            </w:r>
          </w:p>
        </w:tc>
        <w:tc>
          <w:tcPr>
            <w:tcW w:type="dxa" w:w="960"/>
          </w:tcPr>
          <w:p>
            <w:r>
              <w:t>3965</w:t>
            </w:r>
          </w:p>
        </w:tc>
        <w:tc>
          <w:tcPr>
            <w:tcW w:type="dxa" w:w="960"/>
          </w:tcPr>
          <w:p>
            <w:r>
              <w:t>0.06202</w:t>
            </w:r>
          </w:p>
        </w:tc>
        <w:tc>
          <w:tcPr>
            <w:tcW w:type="dxa" w:w="960"/>
          </w:tcPr>
          <w:p>
            <w:r>
              <w:t>0.08711</w:t>
            </w:r>
          </w:p>
        </w:tc>
        <w:tc>
          <w:tcPr>
            <w:tcW w:type="dxa" w:w="960"/>
          </w:tcPr>
          <w:p>
            <w:r>
              <w:t>0.12404</w:t>
            </w:r>
          </w:p>
        </w:tc>
        <w:tc>
          <w:tcPr>
            <w:tcW w:type="dxa" w:w="960"/>
          </w:tcPr>
          <w:p>
            <w:r>
              <w:t>79.75</w:t>
            </w:r>
          </w:p>
        </w:tc>
      </w:tr>
    </w:tbl>
    <w:p>
      <w:pPr>
        <w:jc w:val="center"/>
      </w:pPr>
      <w:r>
        <w:rPr>
          <w:i/>
        </w:rPr>
        <w:t>Table 2. Equilibrium domestic active pool, minimum viable threshold, and endogenous inflow parameters.</w:t>
      </w:r>
    </w:p>
    <w:p>
      <w:r>
        <w:t>Figure 1 visualises the gap between equilibrium and threshold. The Sinic, Continental Europe, United States groups display the largest equilibrium active pools, while the Other Western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916936"/>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916936"/>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its active-pool elasticity ranges from -2.79 to -2.27. Attrition removes researchers from every compartment, so a proportional increase in d produces a larger proportional decline in the active pool. The largest positive transition lever is domestic hit generation (h_D), followed by principal-investigator promotion (p_D).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United States group shows the strongest response to PI promotion (p_D), indicating that improving the promotion of hit researchers to PIs is an especially efficient way to expand the domestic active pool in that community. In the largest groups, p_D remains positive but its relative effect is smaller, because the active pool is already large and a proportional change in promotion has less marginal impact.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-2.68</w:t>
            </w:r>
          </w:p>
        </w:tc>
        <w:tc>
          <w:tcPr>
            <w:tcW w:type="dxa" w:w="1234"/>
          </w:tcPr>
          <w:p>
            <w:r>
              <w:t>h_D</w:t>
            </w:r>
          </w:p>
        </w:tc>
        <w:tc>
          <w:tcPr>
            <w:tcW w:type="dxa" w:w="1234"/>
          </w:tcPr>
          <w:p>
            <w:r>
              <w:t>0.47</w:t>
            </w:r>
          </w:p>
        </w:tc>
        <w:tc>
          <w:tcPr>
            <w:tcW w:type="dxa" w:w="1234"/>
          </w:tcPr>
          <w:p>
            <w:r>
              <w:t>p_D</w:t>
            </w:r>
          </w:p>
        </w:tc>
        <w:tc>
          <w:tcPr>
            <w:tcW w:type="dxa" w:w="1234"/>
          </w:tcPr>
          <w:p>
            <w:r>
              <w:t>0.34</w:t>
            </w:r>
          </w:p>
        </w:tc>
      </w:tr>
      <w:tr>
        <w:tc>
          <w:tcPr>
            <w:tcW w:type="dxa" w:w="1234"/>
          </w:tcPr>
          <w:p>
            <w:r>
              <w:t>Continental Europe</w:t>
            </w:r>
          </w:p>
        </w:tc>
        <w:tc>
          <w:tcPr>
            <w:tcW w:type="dxa" w:w="1234"/>
          </w:tcPr>
          <w:p>
            <w:r>
              <w:t>d</w:t>
            </w:r>
          </w:p>
        </w:tc>
        <w:tc>
          <w:tcPr>
            <w:tcW w:type="dxa" w:w="1234"/>
          </w:tcPr>
          <w:p>
            <w:r>
              <w:t>-2.68</w:t>
            </w:r>
          </w:p>
        </w:tc>
        <w:tc>
          <w:tcPr>
            <w:tcW w:type="dxa" w:w="1234"/>
          </w:tcPr>
          <w:p>
            <w:r>
              <w:t>h_D</w:t>
            </w:r>
          </w:p>
        </w:tc>
        <w:tc>
          <w:tcPr>
            <w:tcW w:type="dxa" w:w="1234"/>
          </w:tcPr>
          <w:p>
            <w:r>
              <w:t>0.39</w:t>
            </w:r>
          </w:p>
        </w:tc>
        <w:tc>
          <w:tcPr>
            <w:tcW w:type="dxa" w:w="1234"/>
          </w:tcPr>
          <w:p>
            <w:r>
              <w:t>p_D</w:t>
            </w:r>
          </w:p>
        </w:tc>
        <w:tc>
          <w:tcPr>
            <w:tcW w:type="dxa" w:w="1234"/>
          </w:tcPr>
          <w:p>
            <w:r>
              <w:t>0.35</w:t>
            </w:r>
          </w:p>
        </w:tc>
      </w:tr>
      <w:tr>
        <w:tc>
          <w:tcPr>
            <w:tcW w:type="dxa" w:w="1234"/>
          </w:tcPr>
          <w:p>
            <w:r>
              <w:t>Hindu</w:t>
            </w:r>
          </w:p>
        </w:tc>
        <w:tc>
          <w:tcPr>
            <w:tcW w:type="dxa" w:w="1234"/>
          </w:tcPr>
          <w:p>
            <w:r>
              <w:t>d</w:t>
            </w:r>
          </w:p>
        </w:tc>
        <w:tc>
          <w:tcPr>
            <w:tcW w:type="dxa" w:w="1234"/>
          </w:tcPr>
          <w:p>
            <w:r>
              <w:t>-2.54</w:t>
            </w:r>
          </w:p>
        </w:tc>
        <w:tc>
          <w:tcPr>
            <w:tcW w:type="dxa" w:w="1234"/>
          </w:tcPr>
          <w:p>
            <w:r>
              <w:t>h_D</w:t>
            </w:r>
          </w:p>
        </w:tc>
        <w:tc>
          <w:tcPr>
            <w:tcW w:type="dxa" w:w="1234"/>
          </w:tcPr>
          <w:p>
            <w:r>
              <w:t>0.34</w:t>
            </w:r>
          </w:p>
        </w:tc>
        <w:tc>
          <w:tcPr>
            <w:tcW w:type="dxa" w:w="1234"/>
          </w:tcPr>
          <w:p>
            <w:r>
              <w:t>p_D</w:t>
            </w:r>
          </w:p>
        </w:tc>
        <w:tc>
          <w:tcPr>
            <w:tcW w:type="dxa" w:w="1234"/>
          </w:tcPr>
          <w:p>
            <w:r>
              <w:t>0.21</w:t>
            </w:r>
          </w:p>
        </w:tc>
      </w:tr>
      <w:tr>
        <w:tc>
          <w:tcPr>
            <w:tcW w:type="dxa" w:w="1234"/>
          </w:tcPr>
          <w:p>
            <w:r>
              <w:t>Islamic</w:t>
            </w:r>
          </w:p>
        </w:tc>
        <w:tc>
          <w:tcPr>
            <w:tcW w:type="dxa" w:w="1234"/>
          </w:tcPr>
          <w:p>
            <w:r>
              <w:t>d</w:t>
            </w:r>
          </w:p>
        </w:tc>
        <w:tc>
          <w:tcPr>
            <w:tcW w:type="dxa" w:w="1234"/>
          </w:tcPr>
          <w:p>
            <w:r>
              <w:t>-2.58</w:t>
            </w:r>
          </w:p>
        </w:tc>
        <w:tc>
          <w:tcPr>
            <w:tcW w:type="dxa" w:w="1234"/>
          </w:tcPr>
          <w:p>
            <w:r>
              <w:t>h_D</w:t>
            </w:r>
          </w:p>
        </w:tc>
        <w:tc>
          <w:tcPr>
            <w:tcW w:type="dxa" w:w="1234"/>
          </w:tcPr>
          <w:p>
            <w:r>
              <w:t>0.37</w:t>
            </w:r>
          </w:p>
        </w:tc>
        <w:tc>
          <w:tcPr>
            <w:tcW w:type="dxa" w:w="1234"/>
          </w:tcPr>
          <w:p>
            <w:r>
              <w:t>p_D</w:t>
            </w:r>
          </w:p>
        </w:tc>
        <w:tc>
          <w:tcPr>
            <w:tcW w:type="dxa" w:w="1234"/>
          </w:tcPr>
          <w:p>
            <w:r>
              <w:t>0.22</w:t>
            </w:r>
          </w:p>
        </w:tc>
      </w:tr>
      <w:tr>
        <w:tc>
          <w:tcPr>
            <w:tcW w:type="dxa" w:w="1234"/>
          </w:tcPr>
          <w:p>
            <w:r>
              <w:t>Japanese</w:t>
            </w:r>
          </w:p>
        </w:tc>
        <w:tc>
          <w:tcPr>
            <w:tcW w:type="dxa" w:w="1234"/>
          </w:tcPr>
          <w:p>
            <w:r>
              <w:t>d</w:t>
            </w:r>
          </w:p>
        </w:tc>
        <w:tc>
          <w:tcPr>
            <w:tcW w:type="dxa" w:w="1234"/>
          </w:tcPr>
          <w:p>
            <w:r>
              <w:t>-2.27</w:t>
            </w:r>
          </w:p>
        </w:tc>
        <w:tc>
          <w:tcPr>
            <w:tcW w:type="dxa" w:w="1234"/>
          </w:tcPr>
          <w:p>
            <w:r>
              <w:t>h_D</w:t>
            </w:r>
          </w:p>
        </w:tc>
        <w:tc>
          <w:tcPr>
            <w:tcW w:type="dxa" w:w="1234"/>
          </w:tcPr>
          <w:p>
            <w:r>
              <w:t>0.39</w:t>
            </w:r>
          </w:p>
        </w:tc>
        <w:tc>
          <w:tcPr>
            <w:tcW w:type="dxa" w:w="1234"/>
          </w:tcPr>
          <w:p>
            <w:r>
              <w:t>p_D</w:t>
            </w:r>
          </w:p>
        </w:tc>
        <w:tc>
          <w:tcPr>
            <w:tcW w:type="dxa" w:w="1234"/>
          </w:tcPr>
          <w:p>
            <w:r>
              <w:t>0.27</w:t>
            </w:r>
          </w:p>
        </w:tc>
      </w:tr>
      <w:tr>
        <w:tc>
          <w:tcPr>
            <w:tcW w:type="dxa" w:w="1234"/>
          </w:tcPr>
          <w:p>
            <w:r>
              <w:t>Other Civilizations</w:t>
            </w:r>
          </w:p>
        </w:tc>
        <w:tc>
          <w:tcPr>
            <w:tcW w:type="dxa" w:w="1234"/>
          </w:tcPr>
          <w:p>
            <w:r>
              <w:t>d</w:t>
            </w:r>
          </w:p>
        </w:tc>
        <w:tc>
          <w:tcPr>
            <w:tcW w:type="dxa" w:w="1234"/>
          </w:tcPr>
          <w:p>
            <w:r>
              <w:t>-2.79</w:t>
            </w:r>
          </w:p>
        </w:tc>
        <w:tc>
          <w:tcPr>
            <w:tcW w:type="dxa" w:w="1234"/>
          </w:tcPr>
          <w:p>
            <w:r>
              <w:t>h_D</w:t>
            </w:r>
          </w:p>
        </w:tc>
        <w:tc>
          <w:tcPr>
            <w:tcW w:type="dxa" w:w="1234"/>
          </w:tcPr>
          <w:p>
            <w:r>
              <w:t>0.49</w:t>
            </w:r>
          </w:p>
        </w:tc>
        <w:tc>
          <w:tcPr>
            <w:tcW w:type="dxa" w:w="1234"/>
          </w:tcPr>
          <w:p>
            <w:r>
              <w:t>p_D</w:t>
            </w:r>
          </w:p>
        </w:tc>
        <w:tc>
          <w:tcPr>
            <w:tcW w:type="dxa" w:w="1234"/>
          </w:tcPr>
          <w:p>
            <w:r>
              <w:t>0.31</w:t>
            </w:r>
          </w:p>
        </w:tc>
      </w:tr>
      <w:tr>
        <w:tc>
          <w:tcPr>
            <w:tcW w:type="dxa" w:w="1234"/>
          </w:tcPr>
          <w:p>
            <w:r>
              <w:t>Other Western</w:t>
            </w:r>
          </w:p>
        </w:tc>
        <w:tc>
          <w:tcPr>
            <w:tcW w:type="dxa" w:w="1234"/>
          </w:tcPr>
          <w:p>
            <w:r>
              <w:t>d</w:t>
            </w:r>
          </w:p>
        </w:tc>
        <w:tc>
          <w:tcPr>
            <w:tcW w:type="dxa" w:w="1234"/>
          </w:tcPr>
          <w:p>
            <w:r>
              <w:t>-2.74</w:t>
            </w:r>
          </w:p>
        </w:tc>
        <w:tc>
          <w:tcPr>
            <w:tcW w:type="dxa" w:w="1234"/>
          </w:tcPr>
          <w:p>
            <w:r>
              <w:t>h_D</w:t>
            </w:r>
          </w:p>
        </w:tc>
        <w:tc>
          <w:tcPr>
            <w:tcW w:type="dxa" w:w="1234"/>
          </w:tcPr>
          <w:p>
            <w:r>
              <w:t>0.37</w:t>
            </w:r>
          </w:p>
        </w:tc>
        <w:tc>
          <w:tcPr>
            <w:tcW w:type="dxa" w:w="1234"/>
          </w:tcPr>
          <w:p>
            <w:r>
              <w:t>p_D</w:t>
            </w:r>
          </w:p>
        </w:tc>
        <w:tc>
          <w:tcPr>
            <w:tcW w:type="dxa" w:w="1234"/>
          </w:tcPr>
          <w:p>
            <w:r>
              <w:t>0.35</w:t>
            </w:r>
          </w:p>
        </w:tc>
      </w:tr>
      <w:tr>
        <w:tc>
          <w:tcPr>
            <w:tcW w:type="dxa" w:w="1234"/>
          </w:tcPr>
          <w:p>
            <w:r>
              <w:t>Sinic</w:t>
            </w:r>
          </w:p>
        </w:tc>
        <w:tc>
          <w:tcPr>
            <w:tcW w:type="dxa" w:w="1234"/>
          </w:tcPr>
          <w:p>
            <w:r>
              <w:t>d</w:t>
            </w:r>
          </w:p>
        </w:tc>
        <w:tc>
          <w:tcPr>
            <w:tcW w:type="dxa" w:w="1234"/>
          </w:tcPr>
          <w:p>
            <w:r>
              <w:t>-2.69</w:t>
            </w:r>
          </w:p>
        </w:tc>
        <w:tc>
          <w:tcPr>
            <w:tcW w:type="dxa" w:w="1234"/>
          </w:tcPr>
          <w:p>
            <w:r>
              <w:t>h_D</w:t>
            </w:r>
          </w:p>
        </w:tc>
        <w:tc>
          <w:tcPr>
            <w:tcW w:type="dxa" w:w="1234"/>
          </w:tcPr>
          <w:p>
            <w:r>
              <w:t>0.40</w:t>
            </w:r>
          </w:p>
        </w:tc>
        <w:tc>
          <w:tcPr>
            <w:tcW w:type="dxa" w:w="1234"/>
          </w:tcPr>
          <w:p>
            <w:r>
              <w:t>p_D</w:t>
            </w:r>
          </w:p>
        </w:tc>
        <w:tc>
          <w:tcPr>
            <w:tcW w:type="dxa" w:w="1234"/>
          </w:tcPr>
          <w:p>
            <w:r>
              <w:t>0.26</w:t>
            </w:r>
          </w:p>
        </w:tc>
      </w:tr>
      <w:tr>
        <w:tc>
          <w:tcPr>
            <w:tcW w:type="dxa" w:w="1234"/>
          </w:tcPr>
          <w:p>
            <w:r>
              <w:t>United States</w:t>
            </w:r>
          </w:p>
        </w:tc>
        <w:tc>
          <w:tcPr>
            <w:tcW w:type="dxa" w:w="1234"/>
          </w:tcPr>
          <w:p>
            <w:r>
              <w:t>d</w:t>
            </w:r>
          </w:p>
        </w:tc>
        <w:tc>
          <w:tcPr>
            <w:tcW w:type="dxa" w:w="1234"/>
          </w:tcPr>
          <w:p>
            <w:r>
              <w:t>-2.67</w:t>
            </w:r>
          </w:p>
        </w:tc>
        <w:tc>
          <w:tcPr>
            <w:tcW w:type="dxa" w:w="1234"/>
          </w:tcPr>
          <w:p>
            <w:r>
              <w:t>h_D</w:t>
            </w:r>
          </w:p>
        </w:tc>
        <w:tc>
          <w:tcPr>
            <w:tcW w:type="dxa" w:w="1234"/>
          </w:tcPr>
          <w:p>
            <w:r>
              <w:t>0.45</w:t>
            </w:r>
          </w:p>
        </w:tc>
        <w:tc>
          <w:tcPr>
            <w:tcW w:type="dxa" w:w="1234"/>
          </w:tcPr>
          <w:p>
            <w:r>
              <w:t>p_D</w:t>
            </w:r>
          </w:p>
        </w:tc>
        <w:tc>
          <w:tcPr>
            <w:tcW w:type="dxa" w:w="1234"/>
          </w:tcPr>
          <w:p>
            <w:r>
              <w:t>0.36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Western group is the most fragile: I0 must be multiplied by 0.332× its current value (equivalent to a 67% proportional reduction) to drive the active pool to its minimum viable threshold. I0 is the closest point-of-no-return lever for the active researcher pool in every group. This is consistent with a recruitment-driven view of scientific communities: if the pipeline of new researchers shuts or slows, the active pool eventually falls below the minimum viable coauthor pool regardless of how efficient return or promotion becomes. A global retention programme that reduces dropout would benefit all groups, but the most vulnerable groups may also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Western</w:t>
            </w:r>
          </w:p>
        </w:tc>
        <w:tc>
          <w:tcPr>
            <w:tcW w:type="dxa" w:w="1440"/>
          </w:tcPr>
          <w:p>
            <w:r>
              <w:t>domestic_active</w:t>
            </w:r>
          </w:p>
        </w:tc>
        <w:tc>
          <w:tcPr>
            <w:tcW w:type="dxa" w:w="1440"/>
          </w:tcPr>
          <w:p>
            <w:r>
              <w:t>I0</w:t>
            </w:r>
          </w:p>
        </w:tc>
        <w:tc>
          <w:tcPr>
            <w:tcW w:type="dxa" w:w="1440"/>
          </w:tcPr>
          <w:p>
            <w:r>
              <w:t>129.3235</w:t>
            </w:r>
          </w:p>
        </w:tc>
        <w:tc>
          <w:tcPr>
            <w:tcW w:type="dxa" w:w="1440"/>
          </w:tcPr>
          <w:p>
            <w:r>
              <w:t>0.332</w:t>
            </w:r>
          </w:p>
        </w:tc>
        <w:tc>
          <w:tcPr>
            <w:tcW w:type="dxa" w:w="1440"/>
          </w:tcPr>
          <w:p>
            <w:r>
              <w:t>0.668</w:t>
            </w:r>
          </w:p>
        </w:tc>
      </w:tr>
      <w:tr>
        <w:tc>
          <w:tcPr>
            <w:tcW w:type="dxa" w:w="1440"/>
          </w:tcPr>
          <w:p>
            <w:r>
              <w:t>Japanese</w:t>
            </w:r>
          </w:p>
        </w:tc>
        <w:tc>
          <w:tcPr>
            <w:tcW w:type="dxa" w:w="1440"/>
          </w:tcPr>
          <w:p>
            <w:r>
              <w:t>domestic_active</w:t>
            </w:r>
          </w:p>
        </w:tc>
        <w:tc>
          <w:tcPr>
            <w:tcW w:type="dxa" w:w="1440"/>
          </w:tcPr>
          <w:p>
            <w:r>
              <w:t>I0</w:t>
            </w:r>
          </w:p>
        </w:tc>
        <w:tc>
          <w:tcPr>
            <w:tcW w:type="dxa" w:w="1440"/>
          </w:tcPr>
          <w:p>
            <w:r>
              <w:t>1134.4064</w:t>
            </w:r>
          </w:p>
        </w:tc>
        <w:tc>
          <w:tcPr>
            <w:tcW w:type="dxa" w:w="1440"/>
          </w:tcPr>
          <w:p>
            <w:r>
              <w:t>0.061</w:t>
            </w:r>
          </w:p>
        </w:tc>
        <w:tc>
          <w:tcPr>
            <w:tcW w:type="dxa" w:w="1440"/>
          </w:tcPr>
          <w:p>
            <w:r>
              <w:t>0.939</w:t>
            </w:r>
          </w:p>
        </w:tc>
      </w:tr>
      <w:tr>
        <w:tc>
          <w:tcPr>
            <w:tcW w:type="dxa" w:w="1440"/>
          </w:tcPr>
          <w:p>
            <w:r>
              <w:t>Anglosphere ex-US</w:t>
            </w:r>
          </w:p>
        </w:tc>
        <w:tc>
          <w:tcPr>
            <w:tcW w:type="dxa" w:w="1440"/>
          </w:tcPr>
          <w:p>
            <w:r>
              <w:t>domestic_active</w:t>
            </w:r>
          </w:p>
        </w:tc>
        <w:tc>
          <w:tcPr>
            <w:tcW w:type="dxa" w:w="1440"/>
          </w:tcPr>
          <w:p>
            <w:r>
              <w:t>I0</w:t>
            </w:r>
          </w:p>
        </w:tc>
        <w:tc>
          <w:tcPr>
            <w:tcW w:type="dxa" w:w="1440"/>
          </w:tcPr>
          <w:p>
            <w:r>
              <w:t>1885.9412</w:t>
            </w:r>
          </w:p>
        </w:tc>
        <w:tc>
          <w:tcPr>
            <w:tcW w:type="dxa" w:w="1440"/>
          </w:tcPr>
          <w:p>
            <w:r>
              <w:t>0.047</w:t>
            </w:r>
          </w:p>
        </w:tc>
        <w:tc>
          <w:tcPr>
            <w:tcW w:type="dxa" w:w="1440"/>
          </w:tcPr>
          <w:p>
            <w:r>
              <w:t>0.953</w:t>
            </w:r>
          </w:p>
        </w:tc>
      </w:tr>
      <w:tr>
        <w:tc>
          <w:tcPr>
            <w:tcW w:type="dxa" w:w="1440"/>
          </w:tcPr>
          <w:p>
            <w:r>
              <w:t>Hindu</w:t>
            </w:r>
          </w:p>
        </w:tc>
        <w:tc>
          <w:tcPr>
            <w:tcW w:type="dxa" w:w="1440"/>
          </w:tcPr>
          <w:p>
            <w:r>
              <w:t>domestic_active</w:t>
            </w:r>
          </w:p>
        </w:tc>
        <w:tc>
          <w:tcPr>
            <w:tcW w:type="dxa" w:w="1440"/>
          </w:tcPr>
          <w:p>
            <w:r>
              <w:t>I0</w:t>
            </w:r>
          </w:p>
        </w:tc>
        <w:tc>
          <w:tcPr>
            <w:tcW w:type="dxa" w:w="1440"/>
          </w:tcPr>
          <w:p>
            <w:r>
              <w:t>825.5588</w:t>
            </w:r>
          </w:p>
        </w:tc>
        <w:tc>
          <w:tcPr>
            <w:tcW w:type="dxa" w:w="1440"/>
          </w:tcPr>
          <w:p>
            <w:r>
              <w:t>0.042</w:t>
            </w:r>
          </w:p>
        </w:tc>
        <w:tc>
          <w:tcPr>
            <w:tcW w:type="dxa" w:w="1440"/>
          </w:tcPr>
          <w:p>
            <w:r>
              <w:t>0.958</w:t>
            </w:r>
          </w:p>
        </w:tc>
      </w:tr>
      <w:tr>
        <w:tc>
          <w:tcPr>
            <w:tcW w:type="dxa" w:w="1440"/>
          </w:tcPr>
          <w:p>
            <w:r>
              <w:t>Other Civilizations</w:t>
            </w:r>
          </w:p>
        </w:tc>
        <w:tc>
          <w:tcPr>
            <w:tcW w:type="dxa" w:w="1440"/>
          </w:tcPr>
          <w:p>
            <w:r>
              <w:t>domestic_active</w:t>
            </w:r>
          </w:p>
        </w:tc>
        <w:tc>
          <w:tcPr>
            <w:tcW w:type="dxa" w:w="1440"/>
          </w:tcPr>
          <w:p>
            <w:r>
              <w:t>I0</w:t>
            </w:r>
          </w:p>
        </w:tc>
        <w:tc>
          <w:tcPr>
            <w:tcW w:type="dxa" w:w="1440"/>
          </w:tcPr>
          <w:p>
            <w:r>
              <w:t>1477.6471</w:t>
            </w:r>
          </w:p>
        </w:tc>
        <w:tc>
          <w:tcPr>
            <w:tcW w:type="dxa" w:w="1440"/>
          </w:tcPr>
          <w:p>
            <w:r>
              <w:t>0.035</w:t>
            </w:r>
          </w:p>
        </w:tc>
        <w:tc>
          <w:tcPr>
            <w:tcW w:type="dxa" w:w="1440"/>
          </w:tcPr>
          <w:p>
            <w:r>
              <w:t>0.965</w:t>
            </w:r>
          </w:p>
        </w:tc>
      </w:tr>
      <w:tr>
        <w:tc>
          <w:tcPr>
            <w:tcW w:type="dxa" w:w="1440"/>
          </w:tcPr>
          <w:p>
            <w:r>
              <w:t>Islamic</w:t>
            </w:r>
          </w:p>
        </w:tc>
        <w:tc>
          <w:tcPr>
            <w:tcW w:type="dxa" w:w="1440"/>
          </w:tcPr>
          <w:p>
            <w:r>
              <w:t>domestic_active</w:t>
            </w:r>
          </w:p>
        </w:tc>
        <w:tc>
          <w:tcPr>
            <w:tcW w:type="dxa" w:w="1440"/>
          </w:tcPr>
          <w:p>
            <w:r>
              <w:t>I0</w:t>
            </w:r>
          </w:p>
        </w:tc>
        <w:tc>
          <w:tcPr>
            <w:tcW w:type="dxa" w:w="1440"/>
          </w:tcPr>
          <w:p>
            <w:r>
              <w:t>1501.2647</w:t>
            </w:r>
          </w:p>
        </w:tc>
        <w:tc>
          <w:tcPr>
            <w:tcW w:type="dxa" w:w="1440"/>
          </w:tcPr>
          <w:p>
            <w:r>
              <w:t>0.025</w:t>
            </w:r>
          </w:p>
        </w:tc>
        <w:tc>
          <w:tcPr>
            <w:tcW w:type="dxa" w:w="1440"/>
          </w:tcPr>
          <w:p>
            <w:r>
              <w:t>0.975</w:t>
            </w:r>
          </w:p>
        </w:tc>
      </w:tr>
      <w:tr>
        <w:tc>
          <w:tcPr>
            <w:tcW w:type="dxa" w:w="1440"/>
          </w:tcPr>
          <w:p>
            <w:r>
              <w:t>Continental Europe</w:t>
            </w:r>
          </w:p>
        </w:tc>
        <w:tc>
          <w:tcPr>
            <w:tcW w:type="dxa" w:w="1440"/>
          </w:tcPr>
          <w:p>
            <w:r>
              <w:t>domestic_active</w:t>
            </w:r>
          </w:p>
        </w:tc>
        <w:tc>
          <w:tcPr>
            <w:tcW w:type="dxa" w:w="1440"/>
          </w:tcPr>
          <w:p>
            <w:r>
              <w:t>I0</w:t>
            </w:r>
          </w:p>
        </w:tc>
        <w:tc>
          <w:tcPr>
            <w:tcW w:type="dxa" w:w="1440"/>
          </w:tcPr>
          <w:p>
            <w:r>
              <w:t>4967.9706</w:t>
            </w:r>
          </w:p>
        </w:tc>
        <w:tc>
          <w:tcPr>
            <w:tcW w:type="dxa" w:w="1440"/>
          </w:tcPr>
          <w:p>
            <w:r>
              <w:t>0.020</w:t>
            </w:r>
          </w:p>
        </w:tc>
        <w:tc>
          <w:tcPr>
            <w:tcW w:type="dxa" w:w="1440"/>
          </w:tcPr>
          <w:p>
            <w:r>
              <w:t>0.980</w:t>
            </w:r>
          </w:p>
        </w:tc>
      </w:tr>
      <w:tr>
        <w:tc>
          <w:tcPr>
            <w:tcW w:type="dxa" w:w="1440"/>
          </w:tcPr>
          <w:p>
            <w:r>
              <w:t>United States</w:t>
            </w:r>
          </w:p>
        </w:tc>
        <w:tc>
          <w:tcPr>
            <w:tcW w:type="dxa" w:w="1440"/>
          </w:tcPr>
          <w:p>
            <w:r>
              <w:t>domestic_active</w:t>
            </w:r>
          </w:p>
        </w:tc>
        <w:tc>
          <w:tcPr>
            <w:tcW w:type="dxa" w:w="1440"/>
          </w:tcPr>
          <w:p>
            <w:r>
              <w:t>I0</w:t>
            </w:r>
          </w:p>
        </w:tc>
        <w:tc>
          <w:tcPr>
            <w:tcW w:type="dxa" w:w="1440"/>
          </w:tcPr>
          <w:p>
            <w:r>
              <w:t>3964.9118</w:t>
            </w:r>
          </w:p>
        </w:tc>
        <w:tc>
          <w:tcPr>
            <w:tcW w:type="dxa" w:w="1440"/>
          </w:tcPr>
          <w:p>
            <w:r>
              <w:t>0.013</w:t>
            </w:r>
          </w:p>
        </w:tc>
        <w:tc>
          <w:tcPr>
            <w:tcW w:type="dxa" w:w="1440"/>
          </w:tcPr>
          <w:p>
            <w:r>
              <w:t>0.987</w:t>
            </w:r>
          </w:p>
        </w:tc>
      </w:tr>
      <w:tr>
        <w:tc>
          <w:tcPr>
            <w:tcW w:type="dxa" w:w="1440"/>
          </w:tcPr>
          <w:p>
            <w:r>
              <w:t>Sinic</w:t>
            </w:r>
          </w:p>
        </w:tc>
        <w:tc>
          <w:tcPr>
            <w:tcW w:type="dxa" w:w="1440"/>
          </w:tcPr>
          <w:p>
            <w:r>
              <w:t>domestic_active</w:t>
            </w:r>
          </w:p>
        </w:tc>
        <w:tc>
          <w:tcPr>
            <w:tcW w:type="dxa" w:w="1440"/>
          </w:tcPr>
          <w:p>
            <w:r>
              <w:t>I0</w:t>
            </w:r>
          </w:p>
        </w:tc>
        <w:tc>
          <w:tcPr>
            <w:tcW w:type="dxa" w:w="1440"/>
          </w:tcPr>
          <w:p>
            <w:r>
              <w:t>5589.7353</w:t>
            </w:r>
          </w:p>
        </w:tc>
        <w:tc>
          <w:tcPr>
            <w:tcW w:type="dxa" w:w="1440"/>
          </w:tcPr>
          <w:p>
            <w:r>
              <w:t>0.010</w:t>
            </w:r>
          </w:p>
        </w:tc>
        <w:tc>
          <w:tcPr>
            <w:tcW w:type="dxa" w:w="1440"/>
          </w:tcPr>
          <w:p>
            <w:r>
              <w:t>0.990</w:t>
            </w:r>
          </w:p>
        </w:tc>
      </w:tr>
    </w:tbl>
    <w:p>
      <w:pPr>
        <w:jc w:val="center"/>
      </w:pPr>
      <w:r>
        <w:rPr>
          <w:i/>
        </w:rPr>
        <w:t>Table 4. Closest PNR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We also test a saturating recruitment function in which each additional PI adds fewer entrants. With the capacity parameter calibrated to observed PI stocks, the saturating equilibrium is below 0.001% for every group at the displayed precision, so the linear safety-factor bound remains the operative constraint. Table 5 reports the fitted epsilon values; the near-zero differences show that the results are not driven by unbounded linear growth, but they do not rule out stronger saturation at higher PI densities.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67532</w:t>
            </w:r>
          </w:p>
        </w:tc>
        <w:tc>
          <w:tcPr>
            <w:tcW w:type="dxa" w:w="2160"/>
          </w:tcPr>
          <w:p>
            <w:r>
              <w:t>67532</w:t>
            </w:r>
          </w:p>
        </w:tc>
        <w:tc>
          <w:tcPr>
            <w:tcW w:type="dxa" w:w="2160"/>
          </w:tcPr>
          <w:p>
            <w:r>
              <w:t>0.00000</w:t>
            </w:r>
          </w:p>
        </w:tc>
      </w:tr>
      <w:tr>
        <w:tc>
          <w:tcPr>
            <w:tcW w:type="dxa" w:w="2160"/>
          </w:tcPr>
          <w:p>
            <w:r>
              <w:t>Continental Europe</w:t>
            </w:r>
          </w:p>
        </w:tc>
        <w:tc>
          <w:tcPr>
            <w:tcW w:type="dxa" w:w="2160"/>
          </w:tcPr>
          <w:p>
            <w:r>
              <w:t>195095</w:t>
            </w:r>
          </w:p>
        </w:tc>
        <w:tc>
          <w:tcPr>
            <w:tcW w:type="dxa" w:w="2160"/>
          </w:tcPr>
          <w:p>
            <w:r>
              <w:t>195095</w:t>
            </w:r>
          </w:p>
        </w:tc>
        <w:tc>
          <w:tcPr>
            <w:tcW w:type="dxa" w:w="2160"/>
          </w:tcPr>
          <w:p>
            <w:r>
              <w:t>0.00000</w:t>
            </w:r>
          </w:p>
        </w:tc>
      </w:tr>
      <w:tr>
        <w:tc>
          <w:tcPr>
            <w:tcW w:type="dxa" w:w="2160"/>
          </w:tcPr>
          <w:p>
            <w:r>
              <w:t>Hindu</w:t>
            </w:r>
          </w:p>
        </w:tc>
        <w:tc>
          <w:tcPr>
            <w:tcW w:type="dxa" w:w="2160"/>
          </w:tcPr>
          <w:p>
            <w:r>
              <w:t>53434</w:t>
            </w:r>
          </w:p>
        </w:tc>
        <w:tc>
          <w:tcPr>
            <w:tcW w:type="dxa" w:w="2160"/>
          </w:tcPr>
          <w:p>
            <w:r>
              <w:t>53434</w:t>
            </w:r>
          </w:p>
        </w:tc>
        <w:tc>
          <w:tcPr>
            <w:tcW w:type="dxa" w:w="2160"/>
          </w:tcPr>
          <w:p>
            <w:r>
              <w:t>0.00001</w:t>
            </w:r>
          </w:p>
        </w:tc>
      </w:tr>
      <w:tr>
        <w:tc>
          <w:tcPr>
            <w:tcW w:type="dxa" w:w="2160"/>
          </w:tcPr>
          <w:p>
            <w:r>
              <w:t>Islamic</w:t>
            </w:r>
          </w:p>
        </w:tc>
        <w:tc>
          <w:tcPr>
            <w:tcW w:type="dxa" w:w="2160"/>
          </w:tcPr>
          <w:p>
            <w:r>
              <w:t>88522</w:t>
            </w:r>
          </w:p>
        </w:tc>
        <w:tc>
          <w:tcPr>
            <w:tcW w:type="dxa" w:w="2160"/>
          </w:tcPr>
          <w:p>
            <w:r>
              <w:t>88522</w:t>
            </w:r>
          </w:p>
        </w:tc>
        <w:tc>
          <w:tcPr>
            <w:tcW w:type="dxa" w:w="2160"/>
          </w:tcPr>
          <w:p>
            <w:r>
              <w:t>0.00001</w:t>
            </w:r>
          </w:p>
        </w:tc>
      </w:tr>
      <w:tr>
        <w:tc>
          <w:tcPr>
            <w:tcW w:type="dxa" w:w="2160"/>
          </w:tcPr>
          <w:p>
            <w:r>
              <w:t>Japanese</w:t>
            </w:r>
          </w:p>
        </w:tc>
        <w:tc>
          <w:tcPr>
            <w:tcW w:type="dxa" w:w="2160"/>
          </w:tcPr>
          <w:p>
            <w:r>
              <w:t>29332</w:t>
            </w:r>
          </w:p>
        </w:tc>
        <w:tc>
          <w:tcPr>
            <w:tcW w:type="dxa" w:w="2160"/>
          </w:tcPr>
          <w:p>
            <w:r>
              <w:t>29332</w:t>
            </w:r>
          </w:p>
        </w:tc>
        <w:tc>
          <w:tcPr>
            <w:tcW w:type="dxa" w:w="2160"/>
          </w:tcPr>
          <w:p>
            <w:r>
              <w:t>0.00001</w:t>
            </w:r>
          </w:p>
        </w:tc>
      </w:tr>
      <w:tr>
        <w:tc>
          <w:tcPr>
            <w:tcW w:type="dxa" w:w="2160"/>
          </w:tcPr>
          <w:p>
            <w:r>
              <w:t>Other Civilizations</w:t>
            </w:r>
          </w:p>
        </w:tc>
        <w:tc>
          <w:tcPr>
            <w:tcW w:type="dxa" w:w="2160"/>
          </w:tcPr>
          <w:p>
            <w:r>
              <w:t>59355</w:t>
            </w:r>
          </w:p>
        </w:tc>
        <w:tc>
          <w:tcPr>
            <w:tcW w:type="dxa" w:w="2160"/>
          </w:tcPr>
          <w:p>
            <w:r>
              <w:t>59355</w:t>
            </w:r>
          </w:p>
        </w:tc>
        <w:tc>
          <w:tcPr>
            <w:tcW w:type="dxa" w:w="2160"/>
          </w:tcPr>
          <w:p>
            <w:r>
              <w:t>0.00001</w:t>
            </w:r>
          </w:p>
        </w:tc>
      </w:tr>
      <w:tr>
        <w:tc>
          <w:tcPr>
            <w:tcW w:type="dxa" w:w="2160"/>
          </w:tcPr>
          <w:p>
            <w:r>
              <w:t>Other Western</w:t>
            </w:r>
          </w:p>
        </w:tc>
        <w:tc>
          <w:tcPr>
            <w:tcW w:type="dxa" w:w="2160"/>
          </w:tcPr>
          <w:p>
            <w:r>
              <w:t>4824</w:t>
            </w:r>
          </w:p>
        </w:tc>
        <w:tc>
          <w:tcPr>
            <w:tcW w:type="dxa" w:w="2160"/>
          </w:tcPr>
          <w:p>
            <w:r>
              <w:t>4824</w:t>
            </w:r>
          </w:p>
        </w:tc>
        <w:tc>
          <w:tcPr>
            <w:tcW w:type="dxa" w:w="2160"/>
          </w:tcPr>
          <w:p>
            <w:r>
              <w:t>0.00007</w:t>
            </w:r>
          </w:p>
        </w:tc>
      </w:tr>
      <w:tr>
        <w:tc>
          <w:tcPr>
            <w:tcW w:type="dxa" w:w="2160"/>
          </w:tcPr>
          <w:p>
            <w:r>
              <w:t>Sinic</w:t>
            </w:r>
          </w:p>
        </w:tc>
        <w:tc>
          <w:tcPr>
            <w:tcW w:type="dxa" w:w="2160"/>
          </w:tcPr>
          <w:p>
            <w:r>
              <w:t>303935</w:t>
            </w:r>
          </w:p>
        </w:tc>
        <w:tc>
          <w:tcPr>
            <w:tcW w:type="dxa" w:w="2160"/>
          </w:tcPr>
          <w:p>
            <w:r>
              <w:t>303935</w:t>
            </w:r>
          </w:p>
        </w:tc>
        <w:tc>
          <w:tcPr>
            <w:tcW w:type="dxa" w:w="2160"/>
          </w:tcPr>
          <w:p>
            <w:r>
              <w:t>0.00000</w:t>
            </w:r>
          </w:p>
        </w:tc>
      </w:tr>
      <w:tr>
        <w:tc>
          <w:tcPr>
            <w:tcW w:type="dxa" w:w="2160"/>
          </w:tcPr>
          <w:p>
            <w:r>
              <w:t>United States</w:t>
            </w:r>
          </w:p>
        </w:tc>
        <w:tc>
          <w:tcPr>
            <w:tcW w:type="dxa" w:w="2160"/>
          </w:tcPr>
          <w:p>
            <w:r>
              <w:t>147067</w:t>
            </w:r>
          </w:p>
        </w:tc>
        <w:tc>
          <w:tcPr>
            <w:tcW w:type="dxa" w:w="2160"/>
          </w:tcPr>
          <w:p>
            <w:r>
              <w:t>147067</w:t>
            </w:r>
          </w:p>
        </w:tc>
        <w:tc>
          <w:tcPr>
            <w:tcW w:type="dxa" w:w="2160"/>
          </w:tcPr>
          <w:p>
            <w:r>
              <w:t>0.00000</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Only 9 groups have enough dual-window support for reliable rate estimation in both windows; they are listed in the table. Groups that would see smaller safety margins under late-window rates: Japanese. Groups that would see larger safety margins under late-window rates: Islamic, Hindu, Sinic, Continental Europe, Other Civilizations, United States, Anglosphere ex-US, Other Western. This pattern shows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shows that the current regime is not the only possible one, which is why counterfactual policy analysis is useful.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T early</w:t>
            </w:r>
          </w:p>
        </w:tc>
        <w:tc>
          <w:tcPr>
            <w:tcW w:type="dxa" w:w="1234"/>
          </w:tcPr>
          <w:p>
            <w:r>
              <w:rPr>
                <w:b/>
              </w:rPr>
              <w:t>T late</w:t>
            </w:r>
          </w:p>
        </w:tc>
        <w:tc>
          <w:tcPr>
            <w:tcW w:type="dxa" w:w="1234"/>
          </w:tcPr>
          <w:p>
            <w:r>
              <w:rPr>
                <w:b/>
              </w:rPr>
              <w:t>ΔT (%)</w:t>
            </w:r>
          </w:p>
        </w:tc>
        <w:tc>
          <w:tcPr>
            <w:tcW w:type="dxa" w:w="1234"/>
          </w:tcPr>
          <w:p>
            <w:r>
              <w:rPr>
                <w:b/>
              </w:rPr>
              <w:t>Margin early</w:t>
            </w:r>
          </w:p>
        </w:tc>
        <w:tc>
          <w:tcPr>
            <w:tcW w:type="dxa" w:w="1234"/>
          </w:tcPr>
          <w:p>
            <w:r>
              <w:rPr>
                <w:b/>
              </w:rPr>
              <w:t>Margin late</w:t>
            </w:r>
          </w:p>
        </w:tc>
        <w:tc>
          <w:tcPr>
            <w:tcW w:type="dxa" w:w="1234"/>
          </w:tcPr>
          <w:p>
            <w:r>
              <w:rPr>
                <w:b/>
              </w:rPr>
              <w:t>Δ margin</w:t>
            </w:r>
          </w:p>
        </w:tc>
      </w:tr>
      <w:tr>
        <w:tc>
          <w:tcPr>
            <w:tcW w:type="dxa" w:w="1234"/>
          </w:tcPr>
          <w:p>
            <w:r>
              <w:t>Anglosphere ex-US</w:t>
            </w:r>
          </w:p>
        </w:tc>
        <w:tc>
          <w:tcPr>
            <w:tcW w:type="dxa" w:w="1234"/>
          </w:tcPr>
          <w:p>
            <w:r>
              <w:t>64779</w:t>
            </w:r>
          </w:p>
        </w:tc>
        <w:tc>
          <w:tcPr>
            <w:tcW w:type="dxa" w:w="1234"/>
          </w:tcPr>
          <w:p>
            <w:r>
              <w:t>75245</w:t>
            </w:r>
          </w:p>
        </w:tc>
        <w:tc>
          <w:tcPr>
            <w:tcW w:type="dxa" w:w="1234"/>
          </w:tcPr>
          <w:p>
            <w:r>
              <w:t>16.2</w:t>
            </w:r>
          </w:p>
        </w:tc>
        <w:tc>
          <w:tcPr>
            <w:tcW w:type="dxa" w:w="1234"/>
          </w:tcPr>
          <w:p>
            <w:r>
              <w:t>61596</w:t>
            </w:r>
          </w:p>
        </w:tc>
        <w:tc>
          <w:tcPr>
            <w:tcW w:type="dxa" w:w="1234"/>
          </w:tcPr>
          <w:p>
            <w:r>
              <w:t>72062</w:t>
            </w:r>
          </w:p>
        </w:tc>
        <w:tc>
          <w:tcPr>
            <w:tcW w:type="dxa" w:w="1234"/>
          </w:tcPr>
          <w:p>
            <w:r>
              <w:t>10466.2</w:t>
            </w:r>
          </w:p>
        </w:tc>
      </w:tr>
      <w:tr>
        <w:tc>
          <w:tcPr>
            <w:tcW w:type="dxa" w:w="1234"/>
          </w:tcPr>
          <w:p>
            <w:r>
              <w:t>Continental Europe</w:t>
            </w:r>
          </w:p>
        </w:tc>
        <w:tc>
          <w:tcPr>
            <w:tcW w:type="dxa" w:w="1234"/>
          </w:tcPr>
          <w:p>
            <w:r>
              <w:t>177460</w:t>
            </w:r>
          </w:p>
        </w:tc>
        <w:tc>
          <w:tcPr>
            <w:tcW w:type="dxa" w:w="1234"/>
          </w:tcPr>
          <w:p>
            <w:r>
              <w:t>231958</w:t>
            </w:r>
          </w:p>
        </w:tc>
        <w:tc>
          <w:tcPr>
            <w:tcW w:type="dxa" w:w="1234"/>
          </w:tcPr>
          <w:p>
            <w:r>
              <w:t>30.7</w:t>
            </w:r>
          </w:p>
        </w:tc>
        <w:tc>
          <w:tcPr>
            <w:tcW w:type="dxa" w:w="1234"/>
          </w:tcPr>
          <w:p>
            <w:r>
              <w:t>173536</w:t>
            </w:r>
          </w:p>
        </w:tc>
        <w:tc>
          <w:tcPr>
            <w:tcW w:type="dxa" w:w="1234"/>
          </w:tcPr>
          <w:p>
            <w:r>
              <w:t>228035</w:t>
            </w:r>
          </w:p>
        </w:tc>
        <w:tc>
          <w:tcPr>
            <w:tcW w:type="dxa" w:w="1234"/>
          </w:tcPr>
          <w:p>
            <w:r>
              <w:t>54498.4</w:t>
            </w:r>
          </w:p>
        </w:tc>
      </w:tr>
      <w:tr>
        <w:tc>
          <w:tcPr>
            <w:tcW w:type="dxa" w:w="1234"/>
          </w:tcPr>
          <w:p>
            <w:r>
              <w:t>Hindu</w:t>
            </w:r>
          </w:p>
        </w:tc>
        <w:tc>
          <w:tcPr>
            <w:tcW w:type="dxa" w:w="1234"/>
          </w:tcPr>
          <w:p>
            <w:r>
              <w:t>23397</w:t>
            </w:r>
          </w:p>
        </w:tc>
        <w:tc>
          <w:tcPr>
            <w:tcW w:type="dxa" w:w="1234"/>
          </w:tcPr>
          <w:p>
            <w:r>
              <w:t>110377</w:t>
            </w:r>
          </w:p>
        </w:tc>
        <w:tc>
          <w:tcPr>
            <w:tcW w:type="dxa" w:w="1234"/>
          </w:tcPr>
          <w:p>
            <w:r>
              <w:t>371.8</w:t>
            </w:r>
          </w:p>
        </w:tc>
        <w:tc>
          <w:tcPr>
            <w:tcW w:type="dxa" w:w="1234"/>
          </w:tcPr>
          <w:p>
            <w:r>
              <w:t>21148</w:t>
            </w:r>
          </w:p>
        </w:tc>
        <w:tc>
          <w:tcPr>
            <w:tcW w:type="dxa" w:w="1234"/>
          </w:tcPr>
          <w:p>
            <w:r>
              <w:t>108128</w:t>
            </w:r>
          </w:p>
        </w:tc>
        <w:tc>
          <w:tcPr>
            <w:tcW w:type="dxa" w:w="1234"/>
          </w:tcPr>
          <w:p>
            <w:r>
              <w:t>86979.8</w:t>
            </w:r>
          </w:p>
        </w:tc>
      </w:tr>
      <w:tr>
        <w:tc>
          <w:tcPr>
            <w:tcW w:type="dxa" w:w="1234"/>
          </w:tcPr>
          <w:p>
            <w:r>
              <w:t>Islamic</w:t>
            </w:r>
          </w:p>
        </w:tc>
        <w:tc>
          <w:tcPr>
            <w:tcW w:type="dxa" w:w="1234"/>
          </w:tcPr>
          <w:p>
            <w:r>
              <w:t>37899</w:t>
            </w:r>
          </w:p>
        </w:tc>
        <w:tc>
          <w:tcPr>
            <w:tcW w:type="dxa" w:w="1234"/>
          </w:tcPr>
          <w:p>
            <w:r>
              <w:t>186245</w:t>
            </w:r>
          </w:p>
        </w:tc>
        <w:tc>
          <w:tcPr>
            <w:tcW w:type="dxa" w:w="1234"/>
          </w:tcPr>
          <w:p>
            <w:r>
              <w:t>391.4</w:t>
            </w:r>
          </w:p>
        </w:tc>
        <w:tc>
          <w:tcPr>
            <w:tcW w:type="dxa" w:w="1234"/>
          </w:tcPr>
          <w:p>
            <w:r>
              <w:t>35644</w:t>
            </w:r>
          </w:p>
        </w:tc>
        <w:tc>
          <w:tcPr>
            <w:tcW w:type="dxa" w:w="1234"/>
          </w:tcPr>
          <w:p>
            <w:r>
              <w:t>183990</w:t>
            </w:r>
          </w:p>
        </w:tc>
        <w:tc>
          <w:tcPr>
            <w:tcW w:type="dxa" w:w="1234"/>
          </w:tcPr>
          <w:p>
            <w:r>
              <w:t>148346.1</w:t>
            </w:r>
          </w:p>
        </w:tc>
      </w:tr>
      <w:tr>
        <w:tc>
          <w:tcPr>
            <w:tcW w:type="dxa" w:w="1234"/>
          </w:tcPr>
          <w:p>
            <w:r>
              <w:t>Japanese</w:t>
            </w:r>
          </w:p>
        </w:tc>
        <w:tc>
          <w:tcPr>
            <w:tcW w:type="dxa" w:w="1234"/>
          </w:tcPr>
          <w:p>
            <w:r>
              <w:t>31781</w:t>
            </w:r>
          </w:p>
        </w:tc>
        <w:tc>
          <w:tcPr>
            <w:tcW w:type="dxa" w:w="1234"/>
          </w:tcPr>
          <w:p>
            <w:r>
              <w:t>25052</w:t>
            </w:r>
          </w:p>
        </w:tc>
        <w:tc>
          <w:tcPr>
            <w:tcW w:type="dxa" w:w="1234"/>
          </w:tcPr>
          <w:p>
            <w:r>
              <w:t>-21.2</w:t>
            </w:r>
          </w:p>
        </w:tc>
        <w:tc>
          <w:tcPr>
            <w:tcW w:type="dxa" w:w="1234"/>
          </w:tcPr>
          <w:p>
            <w:r>
              <w:t>29989</w:t>
            </w:r>
          </w:p>
        </w:tc>
        <w:tc>
          <w:tcPr>
            <w:tcW w:type="dxa" w:w="1234"/>
          </w:tcPr>
          <w:p>
            <w:r>
              <w:t>23259</w:t>
            </w:r>
          </w:p>
        </w:tc>
        <w:tc>
          <w:tcPr>
            <w:tcW w:type="dxa" w:w="1234"/>
          </w:tcPr>
          <w:p>
            <w:r>
              <w:t>-6729.5</w:t>
            </w:r>
          </w:p>
        </w:tc>
      </w:tr>
      <w:tr>
        <w:tc>
          <w:tcPr>
            <w:tcW w:type="dxa" w:w="1234"/>
          </w:tcPr>
          <w:p>
            <w:r>
              <w:t>Other Civilizations</w:t>
            </w:r>
          </w:p>
        </w:tc>
        <w:tc>
          <w:tcPr>
            <w:tcW w:type="dxa" w:w="1234"/>
          </w:tcPr>
          <w:p>
            <w:r>
              <w:t>42881</w:t>
            </w:r>
          </w:p>
        </w:tc>
        <w:tc>
          <w:tcPr>
            <w:tcW w:type="dxa" w:w="1234"/>
          </w:tcPr>
          <w:p>
            <w:r>
              <w:t>91930</w:t>
            </w:r>
          </w:p>
        </w:tc>
        <w:tc>
          <w:tcPr>
            <w:tcW w:type="dxa" w:w="1234"/>
          </w:tcPr>
          <w:p>
            <w:r>
              <w:t>114.4</w:t>
            </w:r>
          </w:p>
        </w:tc>
        <w:tc>
          <w:tcPr>
            <w:tcW w:type="dxa" w:w="1234"/>
          </w:tcPr>
          <w:p>
            <w:r>
              <w:t>40812</w:t>
            </w:r>
          </w:p>
        </w:tc>
        <w:tc>
          <w:tcPr>
            <w:tcW w:type="dxa" w:w="1234"/>
          </w:tcPr>
          <w:p>
            <w:r>
              <w:t>89861</w:t>
            </w:r>
          </w:p>
        </w:tc>
        <w:tc>
          <w:tcPr>
            <w:tcW w:type="dxa" w:w="1234"/>
          </w:tcPr>
          <w:p>
            <w:r>
              <w:t>49049.3</w:t>
            </w:r>
          </w:p>
        </w:tc>
      </w:tr>
      <w:tr>
        <w:tc>
          <w:tcPr>
            <w:tcW w:type="dxa" w:w="1234"/>
          </w:tcPr>
          <w:p>
            <w:r>
              <w:t>Other Western</w:t>
            </w:r>
          </w:p>
        </w:tc>
        <w:tc>
          <w:tcPr>
            <w:tcW w:type="dxa" w:w="1234"/>
          </w:tcPr>
          <w:p>
            <w:r>
              <w:t>4450</w:t>
            </w:r>
          </w:p>
        </w:tc>
        <w:tc>
          <w:tcPr>
            <w:tcW w:type="dxa" w:w="1234"/>
          </w:tcPr>
          <w:p>
            <w:r>
              <w:t>5731</w:t>
            </w:r>
          </w:p>
        </w:tc>
        <w:tc>
          <w:tcPr>
            <w:tcW w:type="dxa" w:w="1234"/>
          </w:tcPr>
          <w:p>
            <w:r>
              <w:t>28.8</w:t>
            </w:r>
          </w:p>
        </w:tc>
        <w:tc>
          <w:tcPr>
            <w:tcW w:type="dxa" w:w="1234"/>
          </w:tcPr>
          <w:p>
            <w:r>
              <w:t>2849</w:t>
            </w:r>
          </w:p>
        </w:tc>
        <w:tc>
          <w:tcPr>
            <w:tcW w:type="dxa" w:w="1234"/>
          </w:tcPr>
          <w:p>
            <w:r>
              <w:t>4129</w:t>
            </w:r>
          </w:p>
        </w:tc>
        <w:tc>
          <w:tcPr>
            <w:tcW w:type="dxa" w:w="1234"/>
          </w:tcPr>
          <w:p>
            <w:r>
              <w:t>1280.2</w:t>
            </w:r>
          </w:p>
        </w:tc>
      </w:tr>
      <w:tr>
        <w:tc>
          <w:tcPr>
            <w:tcW w:type="dxa" w:w="1234"/>
          </w:tcPr>
          <w:p>
            <w:r>
              <w:t>Sinic</w:t>
            </w:r>
          </w:p>
        </w:tc>
        <w:tc>
          <w:tcPr>
            <w:tcW w:type="dxa" w:w="1234"/>
          </w:tcPr>
          <w:p>
            <w:r>
              <w:t>278159</w:t>
            </w:r>
          </w:p>
        </w:tc>
        <w:tc>
          <w:tcPr>
            <w:tcW w:type="dxa" w:w="1234"/>
          </w:tcPr>
          <w:p>
            <w:r>
              <w:t>360991</w:t>
            </w:r>
          </w:p>
        </w:tc>
        <w:tc>
          <w:tcPr>
            <w:tcW w:type="dxa" w:w="1234"/>
          </w:tcPr>
          <w:p>
            <w:r>
              <w:t>29.8</w:t>
            </w:r>
          </w:p>
        </w:tc>
        <w:tc>
          <w:tcPr>
            <w:tcW w:type="dxa" w:w="1234"/>
          </w:tcPr>
          <w:p>
            <w:r>
              <w:t>275030</w:t>
            </w:r>
          </w:p>
        </w:tc>
        <w:tc>
          <w:tcPr>
            <w:tcW w:type="dxa" w:w="1234"/>
          </w:tcPr>
          <w:p>
            <w:r>
              <w:t>357861</w:t>
            </w:r>
          </w:p>
        </w:tc>
        <w:tc>
          <w:tcPr>
            <w:tcW w:type="dxa" w:w="1234"/>
          </w:tcPr>
          <w:p>
            <w:r>
              <w:t>82831.4</w:t>
            </w:r>
          </w:p>
        </w:tc>
      </w:tr>
      <w:tr>
        <w:tc>
          <w:tcPr>
            <w:tcW w:type="dxa" w:w="1234"/>
          </w:tcPr>
          <w:p>
            <w:r>
              <w:t>United States</w:t>
            </w:r>
          </w:p>
        </w:tc>
        <w:tc>
          <w:tcPr>
            <w:tcW w:type="dxa" w:w="1234"/>
          </w:tcPr>
          <w:p>
            <w:r>
              <w:t>139401</w:t>
            </w:r>
          </w:p>
        </w:tc>
        <w:tc>
          <w:tcPr>
            <w:tcW w:type="dxa" w:w="1234"/>
          </w:tcPr>
          <w:p>
            <w:r>
              <w:t>169788</w:t>
            </w:r>
          </w:p>
        </w:tc>
        <w:tc>
          <w:tcPr>
            <w:tcW w:type="dxa" w:w="1234"/>
          </w:tcPr>
          <w:p>
            <w:r>
              <w:t>21.8</w:t>
            </w:r>
          </w:p>
        </w:tc>
        <w:tc>
          <w:tcPr>
            <w:tcW w:type="dxa" w:w="1234"/>
          </w:tcPr>
          <w:p>
            <w:r>
              <w:t>137557</w:t>
            </w:r>
          </w:p>
        </w:tc>
        <w:tc>
          <w:tcPr>
            <w:tcW w:type="dxa" w:w="1234"/>
          </w:tcPr>
          <w:p>
            <w:r>
              <w:t>167943</w:t>
            </w:r>
          </w:p>
        </w:tc>
        <w:tc>
          <w:tcPr>
            <w:tcW w:type="dxa" w:w="1234"/>
          </w:tcPr>
          <w:p>
            <w:r>
              <w:t>30386.5</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than the early-window rates if they persisted; negative values mean the margin would shrink.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from a roughly 10% proportional reduction in d ranges from about 567 additional active researchers for the Other Western group to about 34739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7660</w:t>
            </w:r>
          </w:p>
        </w:tc>
        <w:tc>
          <w:tcPr>
            <w:tcW w:type="dxa" w:w="1440"/>
          </w:tcPr>
          <w:p>
            <w:r>
              <w:t>7659.7</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22093</w:t>
            </w:r>
          </w:p>
        </w:tc>
        <w:tc>
          <w:tcPr>
            <w:tcW w:type="dxa" w:w="1440"/>
          </w:tcPr>
          <w:p>
            <w:r>
              <w:t>22093.1</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6184</w:t>
            </w:r>
          </w:p>
        </w:tc>
        <w:tc>
          <w:tcPr>
            <w:tcW w:type="dxa" w:w="1440"/>
          </w:tcPr>
          <w:p>
            <w:r>
              <w:t>6184.2</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10239</w:t>
            </w:r>
          </w:p>
        </w:tc>
        <w:tc>
          <w:tcPr>
            <w:tcW w:type="dxa" w:w="1440"/>
          </w:tcPr>
          <w:p>
            <w:r>
              <w:t>10238.9</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3194</w:t>
            </w:r>
          </w:p>
        </w:tc>
        <w:tc>
          <w:tcPr>
            <w:tcW w:type="dxa" w:w="1440"/>
          </w:tcPr>
          <w:p>
            <w:r>
              <w:t>3193.8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6723</w:t>
            </w:r>
          </w:p>
        </w:tc>
        <w:tc>
          <w:tcPr>
            <w:tcW w:type="dxa" w:w="1440"/>
          </w:tcPr>
          <w:p>
            <w:r>
              <w:t>6723.1</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567</w:t>
            </w:r>
          </w:p>
        </w:tc>
        <w:tc>
          <w:tcPr>
            <w:tcW w:type="dxa" w:w="1440"/>
          </w:tcPr>
          <w:p>
            <w:r>
              <w:t>567.3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34739</w:t>
            </w:r>
          </w:p>
        </w:tc>
        <w:tc>
          <w:tcPr>
            <w:tcW w:type="dxa" w:w="1440"/>
          </w:tcPr>
          <w:p>
            <w:r>
              <w:t>34739.2</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16560</w:t>
            </w:r>
          </w:p>
        </w:tc>
        <w:tc>
          <w:tcPr>
            <w:tcW w:type="dxa" w:w="1440"/>
          </w:tcPr>
          <w:p>
            <w:r>
              <w:t>16560.4</w:t>
            </w:r>
          </w:p>
        </w:tc>
      </w:tr>
    </w:tbl>
    <w:p>
      <w:pPr>
        <w:jc w:val="center"/>
      </w:pPr>
      <w:r>
        <w:rPr>
          <w:i/>
        </w:rPr>
        <w:t>Table 7. Top positive mechanical counterfactual per group, measured by margin gain per 10% proportional lever change.</w:t>
      </w:r>
    </w:p>
    <w:p>
      <w:r>
        <w:t>We also evaluated multi-lever policy packages for the three smallest-margin groups. The package with the largest margin gain in each group was: Other Western (retention: +616 active researchers); Japanese (return_plus_retention: +3369 active researchers); Hindu (retention: +6536 active researchers). These packages combine dropout reduction with return or PI-pipeline levers, showing that the framework can compare multi-lever interventions as well as single-rate perturbations.</w:t>
      </w:r>
    </w:p>
    <w:p>
      <w:pPr>
        <w:pStyle w:val="Heading2"/>
      </w:pPr>
      <w:r>
        <w:t>5.4 Uncertainty</w:t>
      </w:r>
    </w:p>
    <w:p>
      <w:r>
        <w:t>Supplementary Table 5 reports bootstrap 95% confidence intervals for the equilibrium active pool T and the domestic PI pool P_D. The intervals are wide, reflecting the model-implied cohort scale and the extrapolation from observed author-career exposure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PNR. For the smallest groups the lower bound is closer to M, reinforcing the need for continued monitoring and for policy buffers.</w:t>
      </w:r>
    </w:p>
    <w:p>
      <w:r>
        <w:t>Figure 4 displays the bootstrap intervals graphically.</w:t>
      </w:r>
    </w:p>
    <w:p>
      <w:r>
        <w:drawing>
          <wp:inline xmlns:a="http://schemas.openxmlformats.org/drawingml/2006/main" xmlns:pic="http://schemas.openxmlformats.org/drawingml/2006/picture">
            <wp:extent cx="5303520" cy="2906011"/>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06011"/>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PNR and which lever offers the largest safety margin per unit of effort.</w:t>
      </w:r>
    </w:p>
    <w:p>
      <w:pPr>
        <w:pStyle w:val="Heading2"/>
      </w:pPr>
      <w:r>
        <w:t>5.6 Annual transition rates and inter-civilisation flows</w:t>
      </w:r>
    </w:p>
    <w:p>
      <w:r>
        <w:t>Figure 5 plots the observed 2000-2016 transition rates and the projected 2017-2026 rates for each civilisation. Rates are displayed by group and by transition type, so that the reader can see whether a particular transition is trending toward a boundary. Because the projections are linear trend fits regularised by the correction pressures described in Section 4.7, they are not forecasts of specific future events; they are the model's one-year-ahead extrapolation of the recent historical trajectory.</w:t>
      </w:r>
    </w:p>
    <w:p>
      <w:r>
        <w:drawing>
          <wp:inline xmlns:a="http://schemas.openxmlformats.org/drawingml/2006/main" xmlns:pic="http://schemas.openxmlformats.org/drawingml/2006/picture">
            <wp:extent cx="5486400" cy="4751429"/>
            <wp:docPr id="5" name="Picture 5"/>
            <wp:cNvGraphicFramePr>
              <a:graphicFrameLocks noChangeAspect="1"/>
            </wp:cNvGraphicFramePr>
            <a:graphic>
              <a:graphicData uri="http://schemas.openxmlformats.org/drawingml/2006/picture">
                <pic:pic>
                  <pic:nvPicPr>
                    <pic:cNvPr id="0" name="annual_rates_by_group.png"/>
                    <pic:cNvPicPr/>
                  </pic:nvPicPr>
                  <pic:blipFill>
                    <a:blip r:embed="rId13"/>
                    <a:stretch>
                      <a:fillRect/>
                    </a:stretch>
                  </pic:blipFill>
                  <pic:spPr>
                    <a:xfrm>
                      <a:off x="0" y="0"/>
                      <a:ext cx="5486400" cy="4751429"/>
                    </a:xfrm>
                    <a:prstGeom prst="rect"/>
                  </pic:spPr>
                </pic:pic>
              </a:graphicData>
            </a:graphic>
          </wp:inline>
        </w:drawing>
      </w:r>
    </w:p>
    <w:p>
      <w:pPr>
        <w:jc w:val="center"/>
      </w:pPr>
      <w:r>
        <w:rPr>
          <w:i/>
        </w:rPr>
        <w:t>Figure 5. Observed (solid) and projected (dashed) transition rates by civilisation, 2000-2026.</w:t>
      </w:r>
    </w:p>
    <w:p>
      <w:r>
        <w:t>The mean observed annual transition rates by group between 2000 and 2016, distinguishing early-career outflow (α), return (β), domestic and abroad hit generation (h_D, h_A), PI promotion (p_D), dropout (d), and total inflow (I_total), are provided in Supplementary Table 3. Similarly, the cross-origin-destination pairs with the largest accumulation of abroad author-years are listed in Supplementary Table 4. These supplementary tables keep the main text focused on the PNR and policy conclusions while preserving the empirical detail needed for replication and extension.</w:t>
      </w:r>
    </w:p>
    <w:p>
      <w:r>
        <w:t>Figure 6 shows the cross-civilisation accumulation of abroad author-years. Rows represent the origin civilisation and columns represent the destination civilisation, approximated by the author's recent_group while abroad. Origin-destination cells with the same civilisation and destinations labelled Unknown are excluded because the reconstruction cannot observe the actual host civilisation. The remaining cells are a lower-bound proxy for the true inter-civilisation pipelines.</w:t>
      </w:r>
    </w:p>
    <w:p>
      <w:r>
        <w:drawing>
          <wp:inline xmlns:a="http://schemas.openxmlformats.org/drawingml/2006/main" xmlns:pic="http://schemas.openxmlformats.org/drawingml/2006/picture">
            <wp:extent cx="5303520" cy="4311272"/>
            <wp:docPr id="6" name="Picture 6"/>
            <wp:cNvGraphicFramePr>
              <a:graphicFrameLocks noChangeAspect="1"/>
            </wp:cNvGraphicFramePr>
            <a:graphic>
              <a:graphicData uri="http://schemas.openxmlformats.org/drawingml/2006/picture">
                <pic:pic>
                  <pic:nvPicPr>
                    <pic:cNvPr id="0" name="annual_interciv_heatmap.png"/>
                    <pic:cNvPicPr/>
                  </pic:nvPicPr>
                  <pic:blipFill>
                    <a:blip r:embed="rId14"/>
                    <a:stretch>
                      <a:fillRect/>
                    </a:stretch>
                  </pic:blipFill>
                  <pic:spPr>
                    <a:xfrm>
                      <a:off x="0" y="0"/>
                      <a:ext cx="5303520" cy="4311272"/>
                    </a:xfrm>
                    <a:prstGeom prst="rect"/>
                  </pic:spPr>
                </pic:pic>
              </a:graphicData>
            </a:graphic>
          </wp:inline>
        </w:drawing>
      </w:r>
    </w:p>
    <w:p>
      <w:pPr>
        <w:jc w:val="center"/>
      </w:pPr>
      <w:r>
        <w:rPr>
          <w:i/>
        </w:rPr>
        <w:t>Figure 6. Cross-civilisation abroad author-year accumulation by origin (rows) and destination (columns) (same-civilisation cells and Unknown destinations excluded; lower-bound proxy).</w:t>
      </w:r>
    </w:p>
    <w:p>
      <w:pPr>
        <w:pStyle w:val="Heading2"/>
      </w:pPr>
      <w:r>
        <w:t>5.7 Out-of-sample projection, 2017-2023</w:t>
      </w:r>
    </w:p>
    <w:p>
      <w:r>
        <w:t>The 2017-2023 projection is compared with observed annual stocks in Figure 7. Overall accuracy is RMSE 10190.39 and MAPE 129.0% (a non-standard, conservative measure computed against count_obs + 1 to avoid division by zero). The high MAPE reflects small absolute counts and zero-observed cells, and the projection should be read as a directional early-warning indicator of drift and threshold proximity rather than a precise population forecast. Among civilisations the lowest RMSE is for Other Western and the highest RMSE is for Sinic; the highest MAPE is for Islamic. The largest errors occur in small compartments and in groups with sparse transition counts, which is expected because the annual model does not borrow information across civilisations.</w:t>
      </w:r>
    </w:p>
    <w:p>
      <w:r>
        <w:t xml:space="preserve">Direction and threshold-alarm diagnostics support this interpretation. </w:t>
      </w:r>
      <w:r>
        <w:t xml:space="preserve">Year-to-year direction agreement between projected and observed compartment counts is 21.6%, ranging from Hindu to Japanese. </w:t>
      </w:r>
      <w:r>
        <w:t xml:space="preserve">For the active pool T = D + H_D + P_D, the projection correctly classifies whether T is below the minimum viable threshold M in 92.1% of group-years (sensitivity 0.0%, specificity 100.0%). The model identifies 5 observed threshold-crossing group-years, mostly in the smallest civilisations. </w:t>
      </w:r>
      <w:r>
        <w:t>These metrics confirm that the annual layer is useful for directional and threshold-crossing surveillance, not for precise population counts. The modest year-to-year direction-agreement value is expected for small compartments and sparse transitions, and it reinforces that the projection layer should be treated as a drift-and-threshold alarm rather than a population forecast.</w:t>
      </w:r>
    </w:p>
    <w:p>
      <w:r>
        <w:drawing>
          <wp:inline xmlns:a="http://schemas.openxmlformats.org/drawingml/2006/main" xmlns:pic="http://schemas.openxmlformats.org/drawingml/2006/picture">
            <wp:extent cx="5486400" cy="3499291"/>
            <wp:docPr id="7" name="Picture 7"/>
            <wp:cNvGraphicFramePr>
              <a:graphicFrameLocks noChangeAspect="1"/>
            </wp:cNvGraphicFramePr>
            <a:graphic>
              <a:graphicData uri="http://schemas.openxmlformats.org/drawingml/2006/picture">
                <pic:pic>
                  <pic:nvPicPr>
                    <pic:cNvPr id="0" name="annual_projection_vs_observed.png"/>
                    <pic:cNvPicPr/>
                  </pic:nvPicPr>
                  <pic:blipFill>
                    <a:blip r:embed="rId15"/>
                    <a:stretch>
                      <a:fillRect/>
                    </a:stretch>
                  </pic:blipFill>
                  <pic:spPr>
                    <a:xfrm>
                      <a:off x="0" y="0"/>
                      <a:ext cx="5486400" cy="3499291"/>
                    </a:xfrm>
                    <a:prstGeom prst="rect"/>
                  </pic:spPr>
                </pic:pic>
              </a:graphicData>
            </a:graphic>
          </wp:inline>
        </w:drawing>
      </w:r>
    </w:p>
    <w:p>
      <w:pPr>
        <w:jc w:val="center"/>
      </w:pPr>
      <w:r>
        <w:rPr>
          <w:i/>
        </w:rPr>
        <w:t>Figure 7. Observed (solid) and projected (dashed) compartment counts by civilisation, 2017-2023. The vertical dotted line marks the end of the training period (2016).</w:t>
      </w:r>
    </w:p>
    <w:p>
      <w:r>
        <w:t>Detailed projection accuracy by civilisation and by compartment is reported in Supplementary Material (Supplementary Tables 1 and 2). Among compartments, the lowest RMSE is for H_A, while the highest RMSE is for D and the highest MAPE is for D. P_D and H_D show larger errors because small changes in PI and hit rates are amplified by the endogenous inflow term.</w:t>
      </w:r>
    </w:p>
    <w:p>
      <w:pPr>
        <w:pStyle w:val="Heading2"/>
      </w:pPr>
      <w:r>
        <w:t>5.8 Japan-specific compartment and transition-rate ladder</w:t>
      </w:r>
    </w:p>
    <w:p>
      <w:r>
        <w:t>Figure 8 places the Japanese AI/ML research community in the compartment model. The fitted equilibrium is T=29332 active researchers (D=16248, H_D=5714, P_D=7370) against a minimum viable threshold of M=1793, so the safety ratio T/M is 16.36. The right-hand ladder compares Japan's six transition rates with those of the other civilisations. Japan's closest PNR is the exogenous entry rate I0: if I0 were reduced to 6.1% of its current level, the active pool would reach the minimum viable threshold. In the fitted rates, early-career outflow (α=0.025) and domestic PI promotion (p_D=0.064) are comparatively low, while return from abroad (β=0.029) and domestic hit generation (h_D=0.040) are moderate. The small absolute size of the abroad PI compartment (P_A) shows that few Japanese researchers who leave eventually become PIs abroad, which makes the domestic pipeline the critical margin.</w:t>
      </w:r>
    </w:p>
    <w:p>
      <w:r>
        <w:drawing>
          <wp:inline xmlns:a="http://schemas.openxmlformats.org/drawingml/2006/main" xmlns:pic="http://schemas.openxmlformats.org/drawingml/2006/picture">
            <wp:extent cx="5486400" cy="3026204"/>
            <wp:docPr id="8" name="Picture 8"/>
            <wp:cNvGraphicFramePr>
              <a:graphicFrameLocks noChangeAspect="1"/>
            </wp:cNvGraphicFramePr>
            <a:graphic>
              <a:graphicData uri="http://schemas.openxmlformats.org/drawingml/2006/picture">
                <pic:pic>
                  <pic:nvPicPr>
                    <pic:cNvPr id="0" name="fig8_japan_compartment_flow.png"/>
                    <pic:cNvPicPr/>
                  </pic:nvPicPr>
                  <pic:blipFill>
                    <a:blip r:embed="rId16"/>
                    <a:stretch>
                      <a:fillRect/>
                    </a:stretch>
                  </pic:blipFill>
                  <pic:spPr>
                    <a:xfrm>
                      <a:off x="0" y="0"/>
                      <a:ext cx="5486400" cy="3026204"/>
                    </a:xfrm>
                    <a:prstGeom prst="rect"/>
                  </pic:spPr>
                </pic:pic>
              </a:graphicData>
            </a:graphic>
          </wp:inline>
        </w:drawing>
      </w:r>
    </w:p>
    <w:p>
      <w:pPr>
        <w:jc w:val="center"/>
      </w:pPr>
      <w:r>
        <w:rPr>
          <w:i/>
        </w:rPr>
        <w:t>Figure 8. The Japanese AI/ML research community in the six-compartment model, with a cross-civilisation ladder of fitted transition rates. Japan is highlighted in the right-hand panel; longer bars represent higher estimated rates.</w:t>
      </w:r>
    </w:p>
    <w:p>
      <w:pPr>
        <w:pStyle w:val="Heading2"/>
      </w:pPr>
      <w:r>
        <w:t>5.9 A combined model-evaluation view: T/M and PNR proximity</w:t>
      </w:r>
    </w:p>
    <w:p>
      <w:r>
        <w:t>Figure 9 combines the long-run safety ratio T/M with the closest point-of-no-return proximity for each civilisation. A point in the lower-left corner has both a low equilibrium buffer and a small proportional change needed to reach the threshold, so it is the most fragile combination. Japan sits in this region alongside the 'Other Civilizations' group, even though its T/M ratio is above one. This dual view is useful as a model-evaluation metric: a civilisation can have a T/M ratio that looks comfortable but still be close to its PNR because the PNR depends on the proportional change in the most sensitive rate, not only on the level of T. Japan is presented here as an illustrative case; the same diagnostic can be applied to any civilisation with sufficient OpenAlex coverage.</w:t>
      </w:r>
    </w:p>
    <w:p>
      <w:r>
        <w:drawing>
          <wp:inline xmlns:a="http://schemas.openxmlformats.org/drawingml/2006/main" xmlns:pic="http://schemas.openxmlformats.org/drawingml/2006/picture">
            <wp:extent cx="5303520" cy="4124960"/>
            <wp:docPr id="9" name="Picture 9"/>
            <wp:cNvGraphicFramePr>
              <a:graphicFrameLocks noChangeAspect="1"/>
            </wp:cNvGraphicFramePr>
            <a:graphic>
              <a:graphicData uri="http://schemas.openxmlformats.org/drawingml/2006/picture">
                <pic:pic>
                  <pic:nvPicPr>
                    <pic:cNvPr id="0" name="fig9_tm_pnr_scatter.png"/>
                    <pic:cNvPicPr/>
                  </pic:nvPicPr>
                  <pic:blipFill>
                    <a:blip r:embed="rId17"/>
                    <a:stretch>
                      <a:fillRect/>
                    </a:stretch>
                  </pic:blipFill>
                  <pic:spPr>
                    <a:xfrm>
                      <a:off x="0" y="0"/>
                      <a:ext cx="5303520" cy="4124960"/>
                    </a:xfrm>
                    <a:prstGeom prst="rect"/>
                  </pic:spPr>
                </pic:pic>
              </a:graphicData>
            </a:graphic>
          </wp:inline>
        </w:drawing>
      </w:r>
    </w:p>
    <w:p>
      <w:pPr>
        <w:jc w:val="center"/>
      </w:pPr>
      <w:r>
        <w:rPr>
          <w:i/>
        </w:rPr>
        <w:t>Figure 9. Equilibrium safety ratio (T/M) versus closest point-of-no-return proximity for all civilisations. Japan is shown in red.</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 xml:space="preserve"> [11]</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I0 is the closest point-of-no-return lever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 xml:space="preserve"> [1]</w:t>
      </w:r>
      <w:r>
        <w:t>. Policies that sustain that pipeline, such as doctoral funding, visa routes for early-career researchers, and stable junior positions, are therefore first-order defences against a PNR.</w:t>
      </w:r>
    </w:p>
    <w:p>
      <w:r>
        <w:t>Second, among the mobility transition rates, dropout (d) is the dominant negative lever; its active-pool elasticity ranges from -2.79 to -2.27 across groups, and in the policy counterfactuals a simulated reduction in dropout yields the largest margin gain per unit proportional change. Attrition matters because it removes researchers from every compartment, not just one. A 10% proportional reduction in dropout expands the safety margin more than comparably sized increases in return, hit generation or promotion. For Other Western, the group with the smallest safety margin, even modest attrition reductions may widen the margin. These counterfactuals are mechanical perturbations of the fitted rates; they identify the most sensitive transition levers, not the causal effect of any specific policy programme.</w:t>
      </w:r>
    </w:p>
    <w:p>
      <w:r>
        <w:t>Third, the largest positive transition lever is domestic hit generation (h_D), followed by principal-investigator promotion (p_D). The United States group shows the strongest response to PI promotion, suggesting that for that community expanding the domestic PI pipeline is an efficient lever. Return from abroad (β) is also positive for most groups, though its effect is generally smaller than reducing attrition directly. The implication for policy is that retention and promotion are usually more efficient than trying to attract returnees, but a balanced portfolio is still needed: a community without domestic PI growth cannot reproduce itself through attrition reduction alone.</w:t>
      </w:r>
    </w:p>
    <w:p>
      <w:r>
        <w:t>Fourth, the historical counterfactual shows that the late-window rates, if they persisted, would alter equilibrium margins. Groups that would see smaller safety margins under late-window rates: Japanese. Groups that would see larger safety margins under late-window rates: Islamic, Hindu, Sinic, Continental Europe, Other Civilizations, United States, Anglosphere ex-US, Other Western. This pattern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endogenous inflow is capped at a safety factor of 0.50 relative to the critical reproduction rate (the most constrained fitted group realises 0.40),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 xml:space="preserve"> [17]</w:t>
      </w:r>
      <w:r>
        <w:t>. A monocentric or tight-oligopoly structure in AI/ML may produce short-run efficiency gains through scale and agglomeration, but it also raises the risk of methodological lock-in, selection bias in training data, and reduced error correction. It is also an evolutionary dead end: it narrows the menu of innovation options, removes healthy competitors whose alternative approaches keep the field honest, and concentrates problem selection under a single institutional and methodological line. When one civilisation or a small oligopoly sets the dominant research agenda, problems that do not fit its priorities, languages, or institutional incentives are less likely to be addressed, leaving important scientific and social needs unresolved. Recent work on multi-university teams shows that geographically dispersed collaborations can retain high impact, which suggests that distributing capacity across civilisations need not sacrifice quality</w:t>
      </w:r>
      <w:r>
        <w:rPr>
          <w:vertAlign w:val="superscript"/>
        </w:rPr>
        <w:t xml:space="preserve"> [12]</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r>
        <w:t>Japan is used as an illustrative case, not because it is the only group of interest, but because it combines a small absolute margin with rich data and a distinctive institutional lineage that makes the policy translation concrete. It is the clearest example among the large civilisations. Its fitted active-pool margin is T=29332 researchers, with M=1793 (T/M=16.36). As Figure 8 shows, Japan's closest PNR is the exogenous entry rate I0: if I0 fell to 6.1% of its current level, the active pool would reach the minimum viable threshold. The same figure shows that Japan's early-career outflow α (0.025) and domestic PI promotion p_D (0.064) are comparatively low, while return from abroad β (0.029) and domestic hit generation h_D (0.040) are moderate. These numbers translate directly into policy levers. α can be reduced by expanding postdoctoral fellowships and junior-faculty positions that keep promising researchers in the domestic pipeline; β can be raised through return grants, dual appointments, and recognition of overseas experience in domestic hiring. h_D responds to doctoral and postdoctoral training expansion, including the 2026 AI for Science (SPREAD) programme if it is used to create independent labs with their own budgets rather than merely increasing headcount. p_D depends on tenure-track conversion, startup packages, and project-based PI status for mid-career researchers. d, the dropout rate to L, can be lowered through childcare support, dual-career accommodation, and stable non-tenure research tracks. Finally, I0 captures the pure exogenous entry flow and can be supported by research-master pipelines, undergraduate research programmes, and early doctoral fellowships. Weakening the Japanese civilisation would not be neutral for the rest of the world: it would remove a distinct institutional lineage, reduce the pool of non-Anglophone problem framings, and leave a range of health, ageing, robotics, and materials problems under-addressed. Maintaining Japan as a viable AI/ML civilisation is therefore in the global interest, not only in Japan's national interest. The Japan-specific analysis is intended as a worked example; the same rate-ladder diagnostic can be applied to any civilisation with sufficient OpenAlex coverage.</w:t>
      </w:r>
    </w:p>
    <w:p>
      <w:pPr>
        <w:pStyle w:val="Heading2"/>
      </w:pPr>
      <w:r>
        <w:t>6.3 Policy and management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PNR. It also frames high-skilled mobility as a strategic competition among jurisdictions for talent</w:t>
      </w:r>
      <w:r>
        <w:rPr>
          <w:vertAlign w:val="superscript"/>
        </w:rPr>
        <w:t xml:space="preserve"> [18]</w:t>
      </w:r>
      <w:r>
        <w:t>, in which the central question is not only who wins the current round but whether the global system retains enough diversity for future rounds</w:t>
      </w:r>
      <w:r>
        <w:rPr>
          <w:vertAlign w:val="superscript"/>
        </w:rPr>
        <w:t xml:space="preserve"> [19]</w:t>
      </w:r>
      <w:r>
        <w:t>. If the dt of policy response is short enough, the model can be updated annually and divergence caught early, before any single civilisation approaches a PNR.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 This is precisely what Sustaining Heterogeneity through Interventions in Global AI/ML Researcher Mobility: A Transition-Rate Framework sets out to do: sustain civilisational diversity through interventions in global AI/ML researcher mobility. We introduce the acronym SHIGA here.</w:t>
      </w:r>
    </w:p>
    <w:p>
      <w:r>
        <w:t>Table 8 maps the most sensitive transition levers to policy instruments and to the management actions that determine them. Policy instruments set incentives, while management actions determine how those incentives are implemented within institutions. Both are needed because a policy without a corresponding management process rarely changes transition rates.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Lever</w:t>
            </w:r>
          </w:p>
        </w:tc>
        <w:tc>
          <w:tcPr>
            <w:tcW w:type="dxa" w:w="2880"/>
          </w:tcPr>
          <w:p>
            <w:r>
              <w:rPr>
                <w:b/>
              </w:rPr>
              <w:t>Policy instrument</w:t>
            </w:r>
          </w:p>
        </w:tc>
        <w:tc>
          <w:tcPr>
            <w:tcW w:type="dxa" w:w="2880"/>
          </w:tcPr>
          <w:p>
            <w:r>
              <w:rPr>
                <w:b/>
              </w:rPr>
              <w:t>Management action</w:t>
            </w:r>
          </w:p>
        </w:tc>
      </w:tr>
      <w:tr>
        <w:tc>
          <w:tcPr>
            <w:tcW w:type="dxa" w:w="2880"/>
          </w:tcPr>
          <w:p>
            <w:r>
              <w:t>Dropout (d)</w:t>
            </w:r>
          </w:p>
        </w:tc>
        <w:tc>
          <w:tcPr>
            <w:tcW w:type="dxa" w:w="2880"/>
          </w:tcPr>
          <w:p>
            <w:r>
              <w:t>Early-career fellowships, childcare and dual-career support, stable non-tenure tracks</w:t>
            </w:r>
          </w:p>
        </w:tc>
        <w:tc>
          <w:tcPr>
            <w:tcW w:type="dxa" w:w="2880"/>
          </w:tcPr>
          <w:p>
            <w:r>
              <w:t>Retain researchers in the domestic pipeline beyond the first career years</w:t>
            </w:r>
          </w:p>
        </w:tc>
      </w:tr>
      <w:tr>
        <w:tc>
          <w:tcPr>
            <w:tcW w:type="dxa" w:w="2880"/>
          </w:tcPr>
          <w:p>
            <w:r>
              <w:t>Exogenous entry (I0)</w:t>
            </w:r>
          </w:p>
        </w:tc>
        <w:tc>
          <w:tcPr>
            <w:tcW w:type="dxa" w:w="2880"/>
          </w:tcPr>
          <w:p>
            <w:r>
              <w:t>Research-master and undergraduate pipelines, doctoral fellowships, recruitment visas</w:t>
            </w:r>
          </w:p>
        </w:tc>
        <w:tc>
          <w:tcPr>
            <w:tcW w:type="dxa" w:w="2880"/>
          </w:tcPr>
          <w:p>
            <w:r>
              <w:t>Widen the base of incoming researchers before they select a field or location</w:t>
            </w:r>
          </w:p>
        </w:tc>
      </w:tr>
      <w:tr>
        <w:tc>
          <w:tcPr>
            <w:tcW w:type="dxa" w:w="2880"/>
          </w:tcPr>
          <w:p>
            <w:r>
              <w:t>Return from abroad (β)</w:t>
            </w:r>
          </w:p>
        </w:tc>
        <w:tc>
          <w:tcPr>
            <w:tcW w:type="dxa" w:w="2880"/>
          </w:tcPr>
          <w:p>
            <w:r>
              <w:t>Return grants, diaspora networks, dual appointments, overseas-experience recognition</w:t>
            </w:r>
          </w:p>
        </w:tc>
        <w:tc>
          <w:tcPr>
            <w:tcW w:type="dxa" w:w="2880"/>
          </w:tcPr>
          <w:p>
            <w:r>
              <w:t>Encourage mobile researchers to re-establish domestic research groups</w:t>
            </w:r>
          </w:p>
        </w:tc>
      </w:tr>
      <w:tr>
        <w:tc>
          <w:tcPr>
            <w:tcW w:type="dxa" w:w="2880"/>
          </w:tcPr>
          <w:p>
            <w:r>
              <w:t>Domestic hit generation (h_D)</w:t>
            </w:r>
          </w:p>
        </w:tc>
        <w:tc>
          <w:tcPr>
            <w:tcW w:type="dxa" w:w="2880"/>
          </w:tcPr>
          <w:p>
            <w:r>
              <w:t>Independent-lab programmes (e.g. SPREAD-style), doctoral/postdoctoral training, compute access</w:t>
            </w:r>
          </w:p>
        </w:tc>
        <w:tc>
          <w:tcPr>
            <w:tcW w:type="dxa" w:w="2880"/>
          </w:tcPr>
          <w:p>
            <w:r>
              <w:t>Translate junior capacity into visible, high-impact work and independent research lines</w:t>
            </w:r>
          </w:p>
        </w:tc>
      </w:tr>
      <w:tr>
        <w:tc>
          <w:tcPr>
            <w:tcW w:type="dxa" w:w="2880"/>
          </w:tcPr>
          <w:p>
            <w:r>
              <w:t>PI promotion (p_D)</w:t>
            </w:r>
          </w:p>
        </w:tc>
        <w:tc>
          <w:tcPr>
            <w:tcW w:type="dxa" w:w="2880"/>
          </w:tcPr>
          <w:p>
            <w:r>
              <w:t>Tenure-track conversion, startup packages, project-based PI status</w:t>
            </w:r>
          </w:p>
        </w:tc>
        <w:tc>
          <w:tcPr>
            <w:tcW w:type="dxa" w:w="2880"/>
          </w:tcPr>
          <w:p>
            <w:r>
              <w:t>Create durable principal-investigator positions that train the next cohort</w:t>
            </w:r>
          </w:p>
        </w:tc>
      </w:tr>
    </w:tbl>
    <w:p>
      <w:pPr>
        <w:jc w:val="center"/>
      </w:pPr>
      <w:r>
        <w:rPr>
          <w:i/>
        </w:rPr>
        <w:t>Table 8. Transition levers, policy instruments, and management actions.</w:t>
      </w:r>
    </w:p>
    <w:p>
      <w:r>
        <w:t>Operationally, the framework can be used in two complementary ways. As a monitoring tool, it can be rerun whenever new OpenAlex data are released, producing an updated set of transition rates, safety margins and proximity-to-threshold estimates. As a scenario tool, it can quantify how large a proportional change in a given rate would be required to move a community toward or away from collapse, which helps prioritise empirical policy evaluation. Both uses depend on transparent assumptions and regular recalibration; the model should not be used to justify one-off interventions without accompanying process evaluation.</w:t>
      </w:r>
    </w:p>
    <w:p>
      <w:r>
        <w:t>Table 8 distinguishes the policy instruments that governments, funding agencies and international organisations control from the management actions that universities and research institutes must take. Policymakers set incentives—doctoral quotas, fellowships, visas, independent-lab schemes, and dual-career support—but those incentives change transition rates only if institutions translate them into hiring, promotion, and retention practices. University leadership and department heads therefore own the management levers in the right-hand column: tenure-track conversion, startup packages, mentoring pipelines, and stable non-tenure research tracks. Mapping the model levers to actors sharpens the translation: I0 and h_D are primarily owned by national funding agencies and ministries that set doctoral, postdoctoral and independent-lab budgets; p_D and d are owned by universities and department heads through promotion, retention and work-life policies; β is influenced by diaspora networks, return grants, dual appointments and private-sector R&amp;D recruitment. The model's value for management is to rank which local transition rates most urgently need intervention and to estimate the proportional change required to restore a safety margin.</w:t>
      </w:r>
    </w:p>
    <w:p>
      <w:pPr>
        <w:pStyle w:val="Heading2"/>
      </w:pPr>
      <w:r>
        <w:t>6.4 Intra-civilisation alternatives when inter-civilisation mobility cannot be controlled</w:t>
      </w:r>
    </w:p>
    <w:p>
      <w:r>
        <w:t>If a civilisation cannot control outflows to, or inflows from, other jurisdictions—whether because of visa regimes, salary differentials, language advantages, or targeted recruitment—it can still preserve its research community by acting on the intra-civilisation levers identified in the annual model. The annual rates show that the domestic active pool T = D + H_D + P_D responds most strongly to the dropout rate d, the domestic hit rate h_D, and the PI promotion rate p_D. Policies that reduce early-career attrition, expand domestic postdoctoral positions, or accelerate independent-lab formation therefore become defensive substitutes when inter-civilisation poaching cannot be regulated. This is the practical meaning of civilisational-diversity preservation under sovereignty constraints: even without controlling the border of talent, a community can increase the internal reproduction of active researchers. The endogenous inflow is capped at a safety factor of 0.50 relative to the critical reproduction rate (the most constrained fitted group realises 0.40), so the model prevents over-optimism about this substitution effect; more ambitious domestic growth would require corresponding evidence that the extra PIs can be absorbed without simply raising dropout.</w:t>
      </w:r>
    </w:p>
    <w:p>
      <w:pPr>
        <w:pStyle w:val="Heading2"/>
      </w:pPr>
      <w:r>
        <w:t>6.5 Annual updating as an early-warning layer</w:t>
      </w:r>
    </w:p>
    <w:p>
      <w:r>
        <w:t>The 2017-2023 projection demonstrates that the framework can be rerun annually with a one-year time step. Each new year of OpenAlex data updates the observed transition rates, the fitted trends, and the distance to the minimum viable coauthor threshold. Because the model is regularised by the correction pressures, the one-year-ahead projection is not easily derailed by a single noisy observation. Instead, successive years reveal whether a particular transition rate is drifting toward a boundary. That drift is the early-warning signal. Policymakers can then intervene before the active pool falls below M, using the rate-specific elasticities in Table 3 to prioritise the smallest proportional change that restores a safety margin. This is the operational mechanism for avoiding technology monopoly and oligopoly dead ends: by keeping every major research community above its minimum viable coauthor pool, annual monitoring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The modest year-to-year direction agreement in the 2017-2023 projection confirms that this layer is a drift-and-threshold alarm, not a precise population forecast. SHIGA therefore encapsulates the practical goal: keeping the global AI/ML system heterogeneous enough that no single centre of power can monopolise the technological frontier.</w:t>
      </w:r>
    </w:p>
    <w:p>
      <w:pPr>
        <w:pStyle w:val="Heading2"/>
      </w:pPr>
      <w:r>
        <w:t>6.6 Limitations</w:t>
      </w:r>
    </w:p>
    <w:p>
      <w:r>
        <w:t>Several limitations should be acknowledged. OpenAlex affiliation and country assignments are noisy, especially for researchers with multiple affiliations. The civilisation grouping is a coarse aggregation; within-group heterogeneity is substantial. The annual model relies on a discrete approximation of the continuous-time ODE and does not capture within-year events or cross-civilisation spillovers. Inter-civilisation flows are approximated by the author's recent_group while abroad, which misses year-to-year destination switching. The civilisation label is a pragmatic aggregation of publication-affiliation patterns. Historical civilisational boundaries do not necessarily coincide with contemporary political or value-based boundaries, and this study cannot determine whether the diversity of research ideas maps more closely onto historical civilisational groupings or onto current political and value communities; for example, the Sinic grouping reflects current OpenAlex country metadata and does not resolve the cultural and historical ties between mainland China and Taiwan, which currently appear as separate research arenas. This is treated as an empirical limitation of the classification, not as a normative claim. The cohort is a model-implied sample extracted from OpenAlex; absolute equilibrium numbers should be interpreted as model-implied stocks rather than census counts. Authors with many publications are over-weighted relative to less prolific authors, so rate estimates reflect author-publication exposure rather than a uniformly representative sample of individuals. The endogenous inflow is capped at a safety factor of 0.50 relative to the critical reproduction rate (the most constrained fitted group realises 0.40); alternative values would shift equilibrium levels and should be reported in future sensitivity tables. Finally, the point-of-no-return threshold is a sufficient condition for collapse, not a necessary one: a community may decline for reasons outside the model even if T remains above M.</w:t>
      </w:r>
    </w:p>
    <w:p>
      <w:r>
        <w:t>Wide bootstrap confidence intervals, especially for smaller civilisation groups, mean that the ordinal ranking of groups by equilibrium size or proximity to threshold should be treated as descriptive rather than definitive. The model identifies which transitions are most sensitive in a mechanical sense; turning those sensitivities into reliable policy priorities requires additional data on programme costs, implementation lags, and behavioural responses that are outside the scope of this paper.</w:t>
      </w:r>
    </w:p>
    <w:p>
      <w:r>
        <w:t>From a security-studies perspective, the framework is intentionally non-adversarial: it treats mobility as an aggregate transition process and asks when a community becomes unable to reproduce itself, without modelling deliberate recruitment campaigns, technology transfer, or strategic denial. Future work could add a strategic layer by distinguishing civilian from defence-relevant AI/ML pipelines, or by modelling targeted recruitment in specific subfields.</w:t>
      </w:r>
    </w:p>
    <w:p>
      <w:pPr>
        <w:pStyle w:val="Heading1"/>
      </w:pPr>
      <w:r>
        <w:t>7. Conclusion</w:t>
      </w:r>
    </w:p>
    <w:p>
      <w:r>
        <w:t>We have proposed and implemented a transition-rate framework for assessing how close AI/ML research communities are to a PNR.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(active-pool elasticity -2.79 to -2.27), and a simulated reduction is the single most efficient model-implied response for every civilisation. However, the closest PNR is exogenous entry for all groups in the active-pool analysis,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annual projection layer adds an operational dimension to this conclusion. By estimating year-by-year transition rates and projecting one year ahead, the model turns the steady-state diagnostic into an early-warning dashboard. A one-year time step is short enough to detect drift before the active pool approaches the minimum viable threshold, and the correction pressures keep the projection within empirical and theoretical bounds. When inter-civilisation mobility cannot be controlled, the same framework points to intra-civilisation levers—reducing dropout, raising domestic hit rates, and accelerating PI promotion—that preserve T = D + H_D + P_D. These two layers, steady-state and annual, together provide a coherent basis for early, safety-factor-bound intervention.</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allowing cross-field comparisons of vulnerability.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Fifth, the sensitivity of equilibrium outcomes to the safety factor and to the saturating parameter epsilon should be mapped systematically. Finally, the framework can be integrated with policy cost data to produce cost-effectiveness comparisons of alternative interventions, turning mechanical sensitivities into actionable funding priorities.</w:t>
      </w:r>
    </w:p>
    <w:p>
      <w:pPr>
        <w:pStyle w:val="Heading1"/>
      </w:pPr>
      <w:r>
        <w:t>References</w:t>
      </w:r>
    </w:p>
    <w:p>
      <w:r>
        <w:t>1. MacroPolo. The Global AI Talent Tracker 2.0. Paulson Institute, 2023. https://macropolo.org/digital-projects/the-global-ai-talent-tracker/</w:t>
      </w:r>
    </w:p>
    <w:p>
      <w:r>
        <w:t>2. Appelt S, van Beuzekom B, Galindo-Rueda F, de Pinho R. Which factors influence the international mobility of research scientists? OECD Science, Technology and Industry Working Papers 2015/02, 2015. https://doi.org/10.1787/5js1tmrr2233-en</w:t>
      </w:r>
    </w:p>
    <w:p>
      <w:r>
        <w:t>3. Stephan P E. The Economics of Science. J Econ Lit. 1996;34(3):1199-1235.</w:t>
      </w:r>
    </w:p>
    <w:p>
      <w:r>
        <w:t>4. Huntington S P. The Clash of Civilizations and the Remaking of World Order. New York: Simon &amp; Schuster, 1996.</w:t>
      </w:r>
    </w:p>
    <w:p>
      <w:r>
        <w:t>5. Aghion P, Bloom N, Blundell R, Griffith R, Howitt P. Competition and innovation: an inverted-U relationship. Q J Econ. 2005;120(2):701-728.</w:t>
      </w:r>
    </w:p>
    <w:p>
      <w:r>
        <w:t>6. Priem J, Piwowar H, Orr R. OpenAlex: A fully-open index of scholarly works, authors, venues, institutions, and concepts. arXiv:2205.01833, 2022. https://doi.org/10.48550/arXiv.2205.01833</w:t>
      </w:r>
    </w:p>
    <w:p>
      <w:r>
        <w:t>7. Thorn K, Holm-Nielsen L B. International Mobility of Researchers and Scientists: Policy Options for Turning a Drain into a Gain. UNU-WIDER Research Paper No. 2006/83, 2006. https://www.wider.unu.edu/sites/default/files/rp2006-83.pdf</w:t>
      </w:r>
    </w:p>
    <w:p>
      <w:r>
        <w:t>8. AlShebli B, Memon S A, Evans J A, Rahwan T. China and the U.S. produce more impactful AI research when collaborating together. Sci Rep. 2024;14:28576. https://doi.org/10.1038/s41598-024-79863-5</w:t>
      </w:r>
    </w:p>
    <w:p>
      <w:r>
        <w:t>9. Yuan S, Shao Z, Wei X, Tang J, Hall W, Wang Y, et al. Science behind AI: the evolution of trend, mobility, and collaboration. Scientometrics. 2020;124(2):993-1013. https://doi.org/10.1007/s11192-020-03423-7</w:t>
      </w:r>
    </w:p>
    <w:p>
      <w:r>
        <w:t>10. Shaffer M L. Minimum Population Sizes for Species Conservation. BioScience. 1981;31(2):131-134.</w:t>
      </w:r>
    </w:p>
    <w:p>
      <w:r>
        <w:t>11. Franzoni C, Scellato G, Stephan P E. Foreign-born scientists: mobility patterns for 16 countries. Nat Biotechnol. 2012;30(12):1250-1253.</w:t>
      </w:r>
    </w:p>
    <w:p>
      <w:r>
        <w:t>12. Jones B F, Wuchty S, Uzzi B. Multi-University Research Teams: Shifting Impact, Geography, and Stratification in Science. Science. 2008;322(5905):1259-1262.</w:t>
      </w:r>
    </w:p>
    <w:p>
      <w:r>
        <w:t>13. Nelson R R, Winter S G. An Evolutionary Theory of Economic Change. Cambridge, MA: Harvard University Press, 1982.</w:t>
      </w:r>
    </w:p>
    <w:p>
      <w:r>
        <w:t>14. Dosi G. Technological paradigms and technological trajectories: a suggested interpretation of the determinants and directions of technical change. Res Policy. 1982;11(3):147-162.</w:t>
      </w:r>
    </w:p>
    <w:p>
      <w:r>
        <w:t>15. Lundvall B-Å. National Systems of Innovation: Toward a Theory of Innovation and Interactive Learning. London: Anthem Press, 1992.</w:t>
      </w:r>
    </w:p>
    <w:p>
      <w:r>
        <w:t>16. Malerba F. Sectoral systems of innovation and production. Res Policy. 2002;31(2):247-264.</w:t>
      </w:r>
    </w:p>
    <w:p>
      <w:r>
        <w:t>17. Freeman R B, Huang W. Collaboration: Strength in diversity. Nature. 2014;513(7518):305. https://doi.org/10.1038/513305a</w:t>
      </w:r>
    </w:p>
    <w:p>
      <w:r>
        <w:t>18. Shachar A. The Race for Talent: Highly Skilled Migrants and Competitive Immigration Regimes. NYU Law Rev. 2006;81(1):148-206.</w:t>
      </w:r>
    </w:p>
    <w:p>
      <w:r>
        <w:t>19.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