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sz w:val="28"/>
        </w:rPr>
        <w:t>Regional variation in anaesthesia practice under universal coverage in Japan: a cross-sectional ecological study of secondary medical areas</w:t>
      </w:r>
    </w:p>
    <w:p>
      <w:pPr>
        <w:jc w:val="center"/>
      </w:pPr>
      <w:r>
        <w:rPr>
          <w:rFonts w:ascii="Times New Roman" w:hAnsi="Times New Roman"/>
          <w:i/>
          <w:sz w:val="24"/>
        </w:rPr>
        <w:t>Running header: Anaesthesia variation in Japan</w:t>
      </w:r>
    </w:p>
    <w:p>
      <w:pPr>
        <w:spacing w:after="0"/>
      </w:pPr>
    </w:p>
    <w:p>
      <w:pPr>
        <w:jc w:val="center"/>
      </w:pPr>
      <w:r>
        <w:rPr>
          <w:rFonts w:ascii="Times New Roman" w:hAnsi="Times New Roman"/>
          <w:i/>
          <w:sz w:val="24"/>
        </w:rPr>
        <w:t>[Author names, affiliations and contact details are provided in the separate title-page file.]</w:t>
      </w:r>
    </w:p>
    <w:p>
      <w:pPr>
        <w:spacing w:after="0"/>
      </w:pPr>
    </w:p>
    <w:p>
      <w:r>
        <w:rPr>
          <w:rFonts w:ascii="Times New Roman" w:hAnsi="Times New Roman"/>
          <w:i/>
          <w:sz w:val="24"/>
        </w:rPr>
        <w:t>Article type: Original research article</w:t>
      </w:r>
    </w:p>
    <w:p>
      <w:r>
        <w:rPr>
          <w:rFonts w:ascii="Times New Roman" w:hAnsi="Times New Roman"/>
          <w:i/>
          <w:sz w:val="24"/>
        </w:rPr>
        <w:t>Word count (main text, excluding abstract, references, tables and figures): approximately 2895 words</w:t>
      </w:r>
    </w:p>
    <w:p>
      <w:r>
        <w:rPr>
          <w:rFonts w:ascii="Times New Roman" w:hAnsi="Times New Roman"/>
          <w:i/>
          <w:sz w:val="24"/>
        </w:rPr>
        <w:t>Tables: 3   Figures: 2   References: 21</w:t>
      </w:r>
    </w:p>
    <w:p>
      <w:r>
        <w:rPr>
          <w:rFonts w:ascii="Times New Roman" w:hAnsi="Times New Roman"/>
          <w:i/>
          <w:sz w:val="24"/>
        </w:rPr>
        <w:t>Reporting guideline: STROBE checklist for cross-sectional studies (uploaded as supplementary material)</w:t>
      </w:r>
    </w:p>
    <w:p>
      <w:r>
        <w:rPr>
          <w:rFonts w:ascii="Times New Roman" w:hAnsi="Times New Roman"/>
          <w:i/>
          <w:sz w:val="24"/>
        </w:rPr>
        <w:t>Target journal: Journal of Epidemiology &amp; Community Health</w:t>
      </w:r>
    </w:p>
    <w:p>
      <w:r>
        <w:br w:type="page"/>
      </w:r>
    </w:p>
    <w:p>
      <w:pPr>
        <w:jc w:val="center"/>
      </w:pPr>
      <w:r>
        <w:rPr>
          <w:rFonts w:ascii="Times New Roman" w:hAnsi="Times New Roman"/>
          <w:b/>
          <w:sz w:val="24"/>
        </w:rPr>
        <w:t>Regional variation in anaesthesia practice under universal coverage in Japan: a cross-sectional ecological study of secondary medical areas</w:t>
      </w:r>
    </w:p>
    <w:p>
      <w:pPr>
        <w:spacing w:after="0"/>
      </w:pPr>
    </w:p>
    <w:p>
      <w:pPr>
        <w:spacing w:before="0" w:after="120"/>
      </w:pPr>
      <w:r>
        <w:rPr>
          <w:rFonts w:ascii="Times New Roman" w:hAnsi="Times New Roman"/>
          <w:b/>
          <w:sz w:val="26"/>
        </w:rPr>
        <w:t>ABSTRACT</w:t>
      </w:r>
    </w:p>
    <w:p>
      <w:r>
        <w:rPr>
          <w:rFonts w:ascii="Times New Roman" w:hAnsi="Times New Roman"/>
          <w:sz w:val="24"/>
        </w:rPr>
        <w:t>Background/aims: Geographic variation in anaesthesia practice is well documented, but it remains unclear whether it reflects real differences in care or artefacts of coding, reimbursement and auditing. Japan's uniform national fee schedule combined with prefecture-specific claims auditing offers a natural experiment for separating these explanations.</w:t>
      </w:r>
    </w:p>
    <w:p>
      <w:r>
        <w:rPr>
          <w:rFonts w:ascii="Times New Roman" w:hAnsi="Times New Roman"/>
          <w:sz w:val="24"/>
        </w:rPr>
        <w:t>Methods: We conducted a cross-sectional ecological study using age- and sex-standardised claim ratios for general, spinal, epidural and continuous epidural anaesthesia across 335 secondary medical areas nested within 47 prefectures, fiscal year 2022. We fitted multilevel linear models with prefecture random intercepts and a university-hospital fixed effect, and performed sensitivity analyses for population density, anaesthesiologist supply and plausible differential audit rates.</w:t>
      </w:r>
    </w:p>
    <w:p>
      <w:r>
        <w:rPr>
          <w:rFonts w:ascii="Times New Roman" w:hAnsi="Times New Roman"/>
          <w:sz w:val="24"/>
        </w:rPr>
        <w:t>Results: Coefficients of variation ranged from 53.7% (general anaesthesia) to 87.2% (epidural). For general anaesthesia, only 0.058 of variance lay between prefectures; university hospital presence explained 0.358 of total variance (</w:t>
      </w:r>
      <m:oMath>
        <m:r>
          <m:t xml:space="preserve">β </m:t>
        </m:r>
        <m:r>
          <m:t xml:space="preserve">= </m:t>
        </m:r>
        <m:r>
          <m:t xml:space="preserve">64.1</m:t>
        </m:r>
        <m:r>
          <m:t xml:space="preserve">, </m:t>
        </m:r>
        <m:r>
          <m:t xml:space="preserve">95% CI </m:t>
        </m:r>
        <m:r>
          <m:t xml:space="preserve">54.8 </m:t>
        </m:r>
        <m:r>
          <m:t xml:space="preserve">to </m:t>
        </m:r>
        <m:r>
          <m:t xml:space="preserve">73.4</m:t>
        </m:r>
        <m:r>
          <m:t xml:space="preserve">, </m:t>
        </m:r>
        <m:r>
          <m:t xml:space="preserve">P </m:t>
        </m:r>
        <m:r>
          <m:t xml:space="preserve">&lt;</m:t>
        </m:r>
        <m:r>
          <m:t xml:space="preserve">0.001</m:t>
        </m:r>
      </m:oMath>
      <w:r>
        <w:rPr>
          <w:rFonts w:ascii="Times New Roman" w:hAnsi="Times New Roman"/>
          <w:sz w:val="24"/>
        </w:rPr>
        <w:t>) and was positive in every prefecture. Maximum plausible audit-related ratio shifts were small relative to the observed interquartile range (general anaesthesia: 0.53%). Covariate adjustment attenuated but did not eliminate the university-hospital effect for general, epidural and continuous epidural anaesthesia.</w:t>
      </w:r>
    </w:p>
    <w:p>
      <w:r>
        <w:rPr>
          <w:rFonts w:ascii="Times New Roman" w:hAnsi="Times New Roman"/>
          <w:sz w:val="24"/>
        </w:rPr>
        <w:t>Conclusion: Regional variation in anaesthesia practice is predominantly structural, driven by access to university hospitals rather than by prefectural auditing. In Japan and similar universal-coverage systems, this pattern signals inequitable access to neuraxial techniques and should be addressed through workforce and organisational policy, not additional coding audits.</w:t>
      </w:r>
    </w:p>
    <w:p>
      <w:pPr>
        <w:spacing w:after="0"/>
      </w:pPr>
    </w:p>
    <w:p>
      <w:r>
        <w:rPr>
          <w:rFonts w:ascii="Times New Roman" w:hAnsi="Times New Roman"/>
          <w:sz w:val="24"/>
        </w:rPr>
        <w:t xml:space="preserve">Keywords: </w:t>
      </w:r>
    </w:p>
    <w:p>
      <w:r>
        <w:rPr>
          <w:rFonts w:ascii="Times New Roman" w:hAnsi="Times New Roman"/>
          <w:sz w:val="24"/>
        </w:rPr>
        <w:t>anaesthesia; small-area variation; multilevel analysis; quality of care; patient safety; health equity; universal health coverage; Japan</w:t>
      </w:r>
    </w:p>
    <w:p>
      <w:r>
        <w:br w:type="page"/>
      </w:r>
    </w:p>
    <w:p>
      <w:pPr>
        <w:spacing w:before="0" w:after="120"/>
      </w:pPr>
      <w:r>
        <w:rPr>
          <w:rFonts w:ascii="Times New Roman" w:hAnsi="Times New Roman"/>
          <w:b/>
          <w:sz w:val="26"/>
        </w:rPr>
        <w:t>KEY MESSAGES</w:t>
      </w:r>
    </w:p>
    <w:p>
      <w:r>
        <w:rPr>
          <w:rFonts w:ascii="Times New Roman" w:hAnsi="Times New Roman"/>
          <w:b/>
          <w:sz w:val="24"/>
        </w:rPr>
        <w:t>What is already known on this topic</w:t>
      </w:r>
    </w:p>
    <w:p>
      <w:r>
        <w:rPr>
          <w:rFonts w:ascii="Times New Roman" w:hAnsi="Times New Roman"/>
          <w:sz w:val="24"/>
        </w:rPr>
        <w:t>Geographic variation in medical and surgical practice is a recurring finding in high-income countries, yet it is often difficult to separate genuine differences in care from artefacts of coding, reimbursement and audit policy. Universal-coverage systems that combine a national fee schedule with regionally devolved claims auditing provide a natural experiment for testing these alternative explanations.</w:t>
      </w:r>
    </w:p>
    <w:p>
      <w:r>
        <w:rPr>
          <w:rFonts w:ascii="Times New Roman" w:hAnsi="Times New Roman"/>
          <w:b/>
          <w:sz w:val="24"/>
        </w:rPr>
        <w:t>What this study adds</w:t>
      </w:r>
    </w:p>
    <w:p>
      <w:r>
        <w:rPr>
          <w:rFonts w:ascii="Times New Roman" w:hAnsi="Times New Roman"/>
          <w:sz w:val="24"/>
        </w:rPr>
        <w:t>In a nationwide cross-sectional ecological analysis of age- and sex-standardised anaesthesia claim ratios across 335 secondary medical areas of Japan, university hospital presence was the dominant structural determinant of variation in general, epidural and continuous epidural anaesthesia use. Prefecture-specific audit intensity could explain only a small fraction of the observed variation.</w:t>
      </w:r>
    </w:p>
    <w:p>
      <w:r>
        <w:rPr>
          <w:rFonts w:ascii="Times New Roman" w:hAnsi="Times New Roman"/>
          <w:b/>
          <w:sz w:val="24"/>
        </w:rPr>
        <w:t>How this study might affect research, practice or policy</w:t>
      </w:r>
    </w:p>
    <w:p>
      <w:r>
        <w:rPr>
          <w:rFonts w:ascii="Times New Roman" w:hAnsi="Times New Roman"/>
          <w:sz w:val="24"/>
        </w:rPr>
        <w:t>Administrative claims data should be used to monitor small-area variation in surgical care as a population-health equity indicator, and policy makers should address workforce and organisational determinants of access to neuraxial anaesthesia rather than treating geographic differences primarily as a coding or fraud problem.</w:t>
      </w:r>
    </w:p>
    <w:p>
      <w:r>
        <w:br w:type="page"/>
      </w:r>
    </w:p>
    <w:p>
      <w:pPr>
        <w:spacing w:before="0" w:after="120"/>
      </w:pPr>
      <w:r>
        <w:rPr>
          <w:rFonts w:ascii="Times New Roman" w:hAnsi="Times New Roman"/>
          <w:b/>
          <w:sz w:val="26"/>
        </w:rPr>
        <w:t>INTRODUCTION</w:t>
      </w:r>
    </w:p>
    <w:p>
      <w:r>
        <w:rPr>
          <w:rFonts w:ascii="Times New Roman" w:hAnsi="Times New Roman"/>
          <w:sz w:val="24"/>
        </w:rPr>
        <w:t>National administrative claims data are a cornerstone of health-services and epidemiologic surveillance in countries with universal health coverage.</w:t>
      </w:r>
      <w:r>
        <w:rPr>
          <w:rFonts w:ascii="Times New Roman" w:hAnsi="Times New Roman"/>
          <w:sz w:val="24"/>
          <w:vertAlign w:val="superscript"/>
        </w:rPr>
        <w:t>1</w:t>
      </w:r>
      <w:r>
        <w:rPr>
          <w:rFonts w:ascii="Times New Roman" w:hAnsi="Times New Roman"/>
          <w:sz w:val="24"/>
        </w:rPr>
        <w:t xml:space="preserve"> Because claims record reimbursed procedures, they capture documented care rather than bedside intention; in systems with uniform fee schedules, however, geographic variation in claims is commonly interpreted as a signal of differences in service delivery, practice style and unmet need.</w:t>
      </w:r>
      <w:r>
        <w:rPr>
          <w:rFonts w:ascii="Times New Roman" w:hAnsi="Times New Roman"/>
          <w:sz w:val="24"/>
          <w:vertAlign w:val="superscript"/>
        </w:rPr>
        <w:t>1,2</w:t>
      </w:r>
      <w:r>
        <w:rPr>
          <w:rFonts w:ascii="Times New Roman" w:hAnsi="Times New Roman"/>
          <w:sz w:val="24"/>
        </w:rPr>
        <w:t xml:space="preserve"> The same records are also used for prefecture-level insurance auditing (shinsa), and audit intensity varies across prefectures.</w:t>
      </w:r>
      <w:r>
        <w:rPr>
          <w:rFonts w:ascii="Times New Roman" w:hAnsi="Times New Roman"/>
          <w:sz w:val="24"/>
          <w:vertAlign w:val="superscript"/>
        </w:rPr>
        <w:t>3</w:t>
      </w:r>
      <w:r>
        <w:rPr>
          <w:rFonts w:ascii="Times New Roman" w:hAnsi="Times New Roman"/>
          <w:sz w:val="24"/>
        </w:rPr>
        <w:t xml:space="preserve"> Where audits differ, between-area variation in claims could reflect differential scrutiny rather than differential care. Distinguishing between them is important for population health research and policy: if variation is real, it signals inequitable access; if it is an artefact, quality-improvement and payment reforms may be misdirected.</w:t>
      </w:r>
    </w:p>
    <w:p>
      <w:r>
        <w:rPr>
          <w:rFonts w:ascii="Times New Roman" w:hAnsi="Times New Roman"/>
          <w:sz w:val="24"/>
        </w:rPr>
        <w:t>Japan offers a natural experiment for this question. The fee schedule and insured benefits are nationally uniform, so price variation is eliminated, while prefectures independently operate claims audits. Anaesthesia is a useful tracer: the choice between general anaesthesia alone and neuraxial or combined techniques is clinically consequential and plausibly linked to outcomes, yet the technical and workforce requirements for neuraxial techniques tend to concentrate in teaching hospitals.</w:t>
      </w:r>
      <w:r>
        <w:rPr>
          <w:rFonts w:ascii="Times New Roman" w:hAnsi="Times New Roman"/>
          <w:sz w:val="24"/>
          <w:vertAlign w:val="superscript"/>
        </w:rPr>
        <w:t>4-5</w:t>
      </w:r>
      <w:r>
        <w:rPr>
          <w:rFonts w:ascii="Times New Roman" w:hAnsi="Times New Roman"/>
          <w:sz w:val="24"/>
        </w:rPr>
        <w:t xml:space="preserve"> If access to these techniques varies by geography, patients' probability of receiving potentially beneficial care depends on place of residence, an equity problem under universal coverage. Japan's 2026 fee-schedule revision clarified the billing code for general anaesthesia, reducing one source of coding ambiguity.</w:t>
      </w:r>
      <w:r>
        <w:rPr>
          <w:rFonts w:ascii="Times New Roman" w:hAnsi="Times New Roman"/>
          <w:sz w:val="24"/>
          <w:vertAlign w:val="superscript"/>
        </w:rPr>
        <w:t>6</w:t>
      </w:r>
    </w:p>
    <w:p>
      <w:r>
        <w:rPr>
          <w:rFonts w:ascii="Times New Roman" w:hAnsi="Times New Roman"/>
          <w:sz w:val="24"/>
        </w:rPr>
        <w:t>We used publicly available, age- and sex-standardised claim ratios to ask: (i) How large is regional variation in anaesthesia practice across Japan's secondary medical areas? (ii) Is the variation consistent with differential prefectural auditing? (iii) What proportion of variance lies between versus within prefectures? (iv) Is the distribution associated with proximity to university hospitals after adjusting for population density and anaesthesiologist supply? By exploiting the nesting of secondary medical areas within prefectures, we provide a transferable framework for distinguishing administrative from structural sources of small-area variation in other universal-coverage systems.</w:t>
      </w:r>
    </w:p>
    <w:p>
      <w:pPr>
        <w:spacing w:before="240" w:after="120"/>
      </w:pPr>
      <w:r>
        <w:rPr>
          <w:rFonts w:ascii="Times New Roman" w:hAnsi="Times New Roman"/>
          <w:b/>
          <w:sz w:val="26"/>
        </w:rPr>
        <w:t>METHODS</w:t>
      </w:r>
    </w:p>
    <w:p>
      <w:pPr>
        <w:spacing w:before="160" w:after="80"/>
      </w:pPr>
      <w:r>
        <w:rPr>
          <w:rFonts w:ascii="Times New Roman" w:hAnsi="Times New Roman"/>
          <w:b/>
          <w:sz w:val="24"/>
        </w:rPr>
        <w:t>Study design and ethical considerations</w:t>
      </w:r>
    </w:p>
    <w:p>
      <w:r>
        <w:rPr>
          <w:rFonts w:ascii="Times New Roman" w:hAnsi="Times New Roman"/>
          <w:sz w:val="24"/>
        </w:rPr>
        <w:t>This was a cross-sectional ecological study using publicly available aggregate data only. No individual-level data were accessed. Patients and the public were not involved in the design, conduct or reporting of this study because it uses aggregate, publicly released data. Ethics committee approval was not required under the Ethical Guidelines for Medical and Biological Research Involving Human Subjects (Japan, 2021 revision). The study was reported in accordance with the Strengthening the Reporting of Observational Studies in Epidemiology (STROBE) checklist for cross-sectional studies,</w:t>
      </w:r>
      <w:r>
        <w:rPr>
          <w:rFonts w:ascii="Times New Roman" w:hAnsi="Times New Roman"/>
          <w:sz w:val="24"/>
          <w:vertAlign w:val="superscript"/>
        </w:rPr>
        <w:t>7</w:t>
      </w:r>
      <w:r>
        <w:rPr>
          <w:rFonts w:ascii="Times New Roman" w:hAnsi="Times New Roman"/>
          <w:sz w:val="24"/>
        </w:rPr>
        <w:t xml:space="preserve"> which is provided as supplementary material.</w:t>
      </w:r>
    </w:p>
    <w:p>
      <w:pPr>
        <w:spacing w:before="160" w:after="80"/>
      </w:pPr>
      <w:r>
        <w:rPr>
          <w:rFonts w:ascii="Times New Roman" w:hAnsi="Times New Roman"/>
          <w:b/>
          <w:sz w:val="24"/>
        </w:rPr>
        <w:t>Geographic units</w:t>
      </w:r>
    </w:p>
    <w:p>
      <w:r>
        <w:rPr>
          <w:rFonts w:ascii="Times New Roman" w:hAnsi="Times New Roman"/>
          <w:sz w:val="24"/>
        </w:rPr>
        <w:t>Japan's healthcare delivery system is organised into a hierarchical structure of medical areas defined under Article 30-4 of the Medical Care Act.</w:t>
      </w:r>
      <w:r>
        <w:rPr>
          <w:rFonts w:ascii="Times New Roman" w:hAnsi="Times New Roman"/>
          <w:sz w:val="24"/>
          <w:vertAlign w:val="superscript"/>
        </w:rPr>
        <w:t>8</w:t>
      </w:r>
      <w:r>
        <w:rPr>
          <w:rFonts w:ascii="Times New Roman" w:hAnsi="Times New Roman"/>
          <w:sz w:val="24"/>
        </w:rPr>
        <w:t xml:space="preserve"> The 47 prefectures serve as tertiary medical areas; within each prefecture, secondary medical areas (n = 335 nationally) are designated as the basic units for inpatient care planning. Crucially, secondary medical areas are completely nested within prefectures and do not cross prefectural boundaries. This nesting differs from the Hospital Service Areas and Hospital Referral Regions used in the United States, which can cross state boundaries,</w:t>
      </w:r>
      <w:r>
        <w:rPr>
          <w:rFonts w:ascii="Times New Roman" w:hAnsi="Times New Roman"/>
          <w:sz w:val="24"/>
          <w:vertAlign w:val="superscript"/>
        </w:rPr>
        <w:t>9</w:t>
      </w:r>
      <w:r>
        <w:rPr>
          <w:rFonts w:ascii="Times New Roman" w:hAnsi="Times New Roman"/>
          <w:sz w:val="24"/>
        </w:rPr>
        <w:t xml:space="preserve"> and makes within-prefecture comparisons unconfounded by spillover under a common audit policy.</w:t>
      </w:r>
    </w:p>
    <w:p>
      <w:pPr>
        <w:spacing w:before="160" w:after="80"/>
      </w:pPr>
      <w:r>
        <w:rPr>
          <w:rFonts w:ascii="Times New Roman" w:hAnsi="Times New Roman"/>
          <w:b/>
          <w:sz w:val="24"/>
        </w:rPr>
        <w:t>Data sources and standardised claim ratios</w:t>
      </w:r>
    </w:p>
    <w:p>
      <w:r>
        <w:rPr>
          <w:rFonts w:ascii="Times New Roman" w:hAnsi="Times New Roman"/>
          <w:sz w:val="24"/>
        </w:rPr>
        <w:t>We used three data sources. First, standardised claim ratios for fiscal year 2022 published by the Cabinet Office under the 'Regional Variation Visualisation' initiative.</w:t>
      </w:r>
      <w:r>
        <w:rPr>
          <w:rFonts w:ascii="Times New Roman" w:hAnsi="Times New Roman"/>
          <w:sz w:val="24"/>
          <w:vertAlign w:val="superscript"/>
        </w:rPr>
        <w:t>10</w:t>
      </w:r>
      <w:r>
        <w:rPr>
          <w:rFonts w:ascii="Times New Roman" w:hAnsi="Times New Roman"/>
          <w:sz w:val="24"/>
        </w:rPr>
        <w:t xml:space="preserve"> Standardised claim ratios are computed by indirect standardisation: expected claim frequencies are calculated by applying national age- and sex-specific claim rates to the local population structure, and the ratio is defined as 100 × (observed claims / expected claims). Ratios are calculated on a residence basis, so claims are attributed to the beneficiary's registered address rather than to the providing facility. Patient travel for treatment therefore does not inflate the ratio of the receiving area. Areas with very few claims are masked by the data provider to protect privacy and appear as missing values. Second, we obtained physician statistics from the 2022 Survey of Physicians, Dentists and Pharmacists.</w:t>
      </w:r>
      <w:r>
        <w:rPr>
          <w:rFonts w:ascii="Times New Roman" w:hAnsi="Times New Roman"/>
          <w:sz w:val="24"/>
          <w:vertAlign w:val="superscript"/>
        </w:rPr>
        <w:t>11</w:t>
      </w:r>
      <w:r>
        <w:rPr>
          <w:rFonts w:ascii="Times New Roman" w:hAnsi="Times New Roman"/>
          <w:sz w:val="24"/>
        </w:rPr>
        <w:t xml:space="preserve"> Third, secondary medical area boundaries, land area and population density were obtained from the National Land Numerical Information medical-area dataset (A38-20).</w:t>
      </w:r>
      <w:r>
        <w:rPr>
          <w:rFonts w:ascii="Times New Roman" w:hAnsi="Times New Roman"/>
          <w:sz w:val="24"/>
          <w:vertAlign w:val="superscript"/>
        </w:rPr>
        <w:t>12</w:t>
      </w:r>
    </w:p>
    <w:p>
      <w:pPr>
        <w:spacing w:before="160" w:after="80"/>
      </w:pPr>
      <w:r>
        <w:rPr>
          <w:rFonts w:ascii="Times New Roman" w:hAnsi="Times New Roman"/>
          <w:b/>
          <w:sz w:val="24"/>
        </w:rPr>
        <w:t>Anaesthesia procedure codes and university hospital mapping</w:t>
      </w:r>
    </w:p>
    <w:p>
      <w:r>
        <w:rPr>
          <w:rFonts w:ascii="Times New Roman" w:hAnsi="Times New Roman"/>
          <w:sz w:val="24"/>
        </w:rPr>
        <w:t>Six procedure codes from the Japanese fee schedule were analysed (Table 1): L008 (closed-circuit general anaesthesia); L002 (epidural anaesthesia as main technique); L003 (continuous epidural infusion, largely billed as adjunct to general anaesthesia); L004 (spinal anaesthesia); L009 (anaesthesia management fee I, a proxy for specialist staffing); and L100 (inpatient nerve block). We mapped university hospitals to their respective secondary medical areas based on municipal address. 64 secondary medical areas (19.1%) contained at least one university hospital, distributed across all 47 prefectures, which enables within-prefecture comparisons between university and non-university areas under a common audit policy.</w:t>
      </w:r>
    </w:p>
    <w:p>
      <w:pPr>
        <w:spacing w:before="240" w:after="120"/>
      </w:pPr>
      <w:r>
        <w:rPr>
          <w:rFonts w:ascii="Times New Roman" w:hAnsi="Times New Roman"/>
          <w:b/>
          <w:sz w:val="24"/>
        </w:rPr>
        <w:t>Table 1. Anaesthesia procedure codes analysed across 335 secondary medical areas of Japan, fiscal year 2022.</w:t>
      </w:r>
    </w:p>
    <w:tbl>
      <w:tblPr>
        <w:tblStyle w:val="TableGrid"/>
        <w:tblW w:type="auto" w:w="0"/>
        <w:tblLook w:firstColumn="1" w:firstRow="1" w:lastColumn="0" w:lastRow="0" w:noHBand="0" w:noVBand="1" w:val="04A0"/>
      </w:tblPr>
      <w:tblGrid>
        <w:gridCol w:w="3009"/>
        <w:gridCol w:w="3009"/>
        <w:gridCol w:w="3009"/>
      </w:tblGrid>
      <w:tr>
        <w:tc>
          <w:tcPr>
            <w:tcW w:type="dxa" w:w="3009"/>
          </w:tcPr>
          <w:p>
            <w:r/>
            <w:r>
              <w:rPr>
                <w:rFonts w:ascii="Times New Roman" w:hAnsi="Times New Roman"/>
                <w:b/>
                <w:sz w:val="20"/>
              </w:rPr>
              <w:t>Code</w:t>
            </w:r>
          </w:p>
        </w:tc>
        <w:tc>
          <w:tcPr>
            <w:tcW w:type="dxa" w:w="3009"/>
          </w:tcPr>
          <w:p>
            <w:r/>
            <w:r>
              <w:rPr>
                <w:rFonts w:ascii="Times New Roman" w:hAnsi="Times New Roman"/>
                <w:b/>
                <w:sz w:val="20"/>
              </w:rPr>
              <w:t>Procedure</w:t>
            </w:r>
          </w:p>
        </w:tc>
        <w:tc>
          <w:tcPr>
            <w:tcW w:type="dxa" w:w="3009"/>
          </w:tcPr>
          <w:p>
            <w:r/>
            <w:r>
              <w:rPr>
                <w:rFonts w:ascii="Times New Roman" w:hAnsi="Times New Roman"/>
                <w:b/>
                <w:sz w:val="20"/>
              </w:rPr>
              <w:t>Notes</w:t>
            </w:r>
          </w:p>
        </w:tc>
      </w:tr>
      <w:tr>
        <w:tc>
          <w:tcPr>
            <w:tcW w:type="dxa" w:w="3009"/>
          </w:tcPr>
          <w:p>
            <w:r/>
            <w:r>
              <w:rPr>
                <w:rFonts w:ascii="Times New Roman" w:hAnsi="Times New Roman"/>
                <w:sz w:val="20"/>
              </w:rPr>
              <w:t>L008</w:t>
            </w:r>
          </w:p>
        </w:tc>
        <w:tc>
          <w:tcPr>
            <w:tcW w:type="dxa" w:w="3009"/>
          </w:tcPr>
          <w:p>
            <w:r/>
            <w:r>
              <w:rPr>
                <w:rFonts w:ascii="Times New Roman" w:hAnsi="Times New Roman"/>
                <w:sz w:val="20"/>
              </w:rPr>
              <w:t>General anaesthesia (closed-circuit)</w:t>
            </w:r>
          </w:p>
        </w:tc>
        <w:tc>
          <w:tcPr>
            <w:tcW w:type="dxa" w:w="3009"/>
          </w:tcPr>
          <w:p>
            <w:r/>
            <w:r>
              <w:rPr>
                <w:rFonts w:ascii="Times New Roman" w:hAnsi="Times New Roman"/>
                <w:sz w:val="20"/>
              </w:rPr>
              <w:t>Primary indicator of overall general anaesthesia volume</w:t>
            </w:r>
          </w:p>
        </w:tc>
      </w:tr>
      <w:tr>
        <w:tc>
          <w:tcPr>
            <w:tcW w:type="dxa" w:w="3009"/>
          </w:tcPr>
          <w:p>
            <w:r/>
            <w:r>
              <w:rPr>
                <w:rFonts w:ascii="Times New Roman" w:hAnsi="Times New Roman"/>
                <w:sz w:val="20"/>
              </w:rPr>
              <w:t>L004</w:t>
            </w:r>
          </w:p>
        </w:tc>
        <w:tc>
          <w:tcPr>
            <w:tcW w:type="dxa" w:w="3009"/>
          </w:tcPr>
          <w:p>
            <w:r/>
            <w:r>
              <w:rPr>
                <w:rFonts w:ascii="Times New Roman" w:hAnsi="Times New Roman"/>
                <w:sz w:val="20"/>
              </w:rPr>
              <w:t>Spinal anaesthesia</w:t>
            </w:r>
          </w:p>
        </w:tc>
        <w:tc>
          <w:tcPr>
            <w:tcW w:type="dxa" w:w="3009"/>
          </w:tcPr>
          <w:p>
            <w:r/>
            <w:r>
              <w:rPr>
                <w:rFonts w:ascii="Times New Roman" w:hAnsi="Times New Roman"/>
                <w:sz w:val="20"/>
              </w:rPr>
              <w:t>Regional technique</w:t>
            </w:r>
          </w:p>
        </w:tc>
      </w:tr>
      <w:tr>
        <w:tc>
          <w:tcPr>
            <w:tcW w:type="dxa" w:w="3009"/>
          </w:tcPr>
          <w:p>
            <w:r/>
            <w:r>
              <w:rPr>
                <w:rFonts w:ascii="Times New Roman" w:hAnsi="Times New Roman"/>
                <w:sz w:val="20"/>
              </w:rPr>
              <w:t>L002</w:t>
            </w:r>
          </w:p>
        </w:tc>
        <w:tc>
          <w:tcPr>
            <w:tcW w:type="dxa" w:w="3009"/>
          </w:tcPr>
          <w:p>
            <w:r/>
            <w:r>
              <w:rPr>
                <w:rFonts w:ascii="Times New Roman" w:hAnsi="Times New Roman"/>
                <w:sz w:val="20"/>
              </w:rPr>
              <w:t>Epidural anaesthesia as main technique</w:t>
            </w:r>
          </w:p>
        </w:tc>
        <w:tc>
          <w:tcPr>
            <w:tcW w:type="dxa" w:w="3009"/>
          </w:tcPr>
          <w:p>
            <w:r/>
            <w:r>
              <w:rPr>
                <w:rFonts w:ascii="Times New Roman" w:hAnsi="Times New Roman"/>
                <w:sz w:val="20"/>
              </w:rPr>
              <w:t>Regional technique claimed as the primary anaesthetic</w:t>
            </w:r>
          </w:p>
        </w:tc>
      </w:tr>
      <w:tr>
        <w:tc>
          <w:tcPr>
            <w:tcW w:type="dxa" w:w="3009"/>
          </w:tcPr>
          <w:p>
            <w:r/>
            <w:r>
              <w:rPr>
                <w:rFonts w:ascii="Times New Roman" w:hAnsi="Times New Roman"/>
                <w:sz w:val="20"/>
              </w:rPr>
              <w:t>L003</w:t>
            </w:r>
          </w:p>
        </w:tc>
        <w:tc>
          <w:tcPr>
            <w:tcW w:type="dxa" w:w="3009"/>
          </w:tcPr>
          <w:p>
            <w:r/>
            <w:r>
              <w:rPr>
                <w:rFonts w:ascii="Times New Roman" w:hAnsi="Times New Roman"/>
                <w:sz w:val="20"/>
              </w:rPr>
              <w:t>Continuous epidural infusion</w:t>
            </w:r>
          </w:p>
        </w:tc>
        <w:tc>
          <w:tcPr>
            <w:tcW w:type="dxa" w:w="3009"/>
          </w:tcPr>
          <w:p>
            <w:r/>
            <w:r>
              <w:rPr>
                <w:rFonts w:ascii="Times New Roman" w:hAnsi="Times New Roman"/>
                <w:sz w:val="20"/>
              </w:rPr>
              <w:t>Regional technique largely billed as adjunct to general anaesthesia</w:t>
            </w:r>
          </w:p>
        </w:tc>
      </w:tr>
      <w:tr>
        <w:tc>
          <w:tcPr>
            <w:tcW w:type="dxa" w:w="3009"/>
          </w:tcPr>
          <w:p>
            <w:r/>
            <w:r>
              <w:rPr>
                <w:rFonts w:ascii="Times New Roman" w:hAnsi="Times New Roman"/>
                <w:sz w:val="20"/>
              </w:rPr>
              <w:t>L009</w:t>
            </w:r>
          </w:p>
        </w:tc>
        <w:tc>
          <w:tcPr>
            <w:tcW w:type="dxa" w:w="3009"/>
          </w:tcPr>
          <w:p>
            <w:r/>
            <w:r>
              <w:rPr>
                <w:rFonts w:ascii="Times New Roman" w:hAnsi="Times New Roman"/>
                <w:sz w:val="20"/>
              </w:rPr>
              <w:t>Anaesthesia management fee I</w:t>
            </w:r>
          </w:p>
        </w:tc>
        <w:tc>
          <w:tcPr>
            <w:tcW w:type="dxa" w:w="3009"/>
          </w:tcPr>
          <w:p>
            <w:r/>
            <w:r>
              <w:rPr>
                <w:rFonts w:ascii="Times New Roman" w:hAnsi="Times New Roman"/>
                <w:sz w:val="20"/>
              </w:rPr>
              <w:t>Proxy for specialist anaesthesiologist staffing</w:t>
            </w:r>
          </w:p>
        </w:tc>
      </w:tr>
      <w:tr>
        <w:tc>
          <w:tcPr>
            <w:tcW w:type="dxa" w:w="3009"/>
          </w:tcPr>
          <w:p>
            <w:r/>
            <w:r>
              <w:rPr>
                <w:rFonts w:ascii="Times New Roman" w:hAnsi="Times New Roman"/>
                <w:sz w:val="20"/>
              </w:rPr>
              <w:t>L100</w:t>
            </w:r>
          </w:p>
        </w:tc>
        <w:tc>
          <w:tcPr>
            <w:tcW w:type="dxa" w:w="3009"/>
          </w:tcPr>
          <w:p>
            <w:r/>
            <w:r>
              <w:rPr>
                <w:rFonts w:ascii="Times New Roman" w:hAnsi="Times New Roman"/>
                <w:sz w:val="20"/>
              </w:rPr>
              <w:t>Nerve block, inpatient</w:t>
            </w:r>
          </w:p>
        </w:tc>
        <w:tc>
          <w:tcPr>
            <w:tcW w:type="dxa" w:w="3009"/>
          </w:tcPr>
          <w:p>
            <w:r/>
            <w:r>
              <w:rPr>
                <w:rFonts w:ascii="Times New Roman" w:hAnsi="Times New Roman"/>
                <w:sz w:val="20"/>
              </w:rPr>
              <w:t>Indicator of pain-clinic activity</w:t>
            </w:r>
          </w:p>
        </w:tc>
      </w:tr>
    </w:tbl>
    <w:p>
      <w:pPr>
        <w:spacing w:before="120" w:after="240"/>
      </w:pPr>
      <w:r>
        <w:rPr>
          <w:rFonts w:ascii="Times New Roman" w:hAnsi="Times New Roman"/>
          <w:i/>
          <w:sz w:val="24"/>
        </w:rPr>
        <w:t>Source: Japanese fee schedule (shinryo houshu tensuhyo), fiscal year 2022. Standardised claim ratios (national average = 100) were computed for each code by indirect age- and sex-standardisation.</w:t>
      </w:r>
    </w:p>
    <w:p>
      <w:pPr>
        <w:spacing w:before="240" w:after="120"/>
      </w:pPr>
      <w:r>
        <w:rPr>
          <w:rFonts w:ascii="Times New Roman" w:hAnsi="Times New Roman"/>
          <w:b/>
          <w:sz w:val="26"/>
        </w:rPr>
        <w:t>RESULTS</w:t>
      </w:r>
    </w:p>
    <w:p>
      <w:pPr>
        <w:spacing w:before="160" w:after="80"/>
      </w:pPr>
      <w:r>
        <w:rPr>
          <w:rFonts w:ascii="Times New Roman" w:hAnsi="Times New Roman"/>
          <w:b/>
          <w:sz w:val="24"/>
        </w:rPr>
        <w:t>Study population and variation in anaesthesia practice</w:t>
      </w:r>
    </w:p>
    <w:p>
      <w:r>
        <w:rPr>
          <w:rFonts w:ascii="Times New Roman" w:hAnsi="Times New Roman"/>
          <w:sz w:val="24"/>
        </w:rPr>
        <w:t>The 335 secondary medical areas were distributed across 47 prefectures (median 7 areas per prefecture, range 3 to 21); 64 areas (19.1%) contained at least one university hospital. Standardised claim ratios for general anaesthesia were available for 334 of 335 areas; ratios for epidural anaesthesia were available for 307 areas, with 28 areas masked owing to low volume. Substantial variation was observed across all codes (Table 2). General anaesthesia ratios ranged from 2.3 to 435.7 (coefficient of variation 53.7%), a 189.4-fold difference. Epidural anaesthesia showed the greatest relative variation (coefficient of variation 87.2%); continuous epidural infusion 65.0% and spinal anaesthesia 56.8%. The geographic distribution of ratios is shown in Figure 1.</w:t>
      </w:r>
    </w:p>
    <w:p>
      <w:pPr>
        <w:spacing w:before="240" w:after="120"/>
      </w:pPr>
      <w:r>
        <w:rPr>
          <w:rFonts w:ascii="Times New Roman" w:hAnsi="Times New Roman"/>
          <w:b/>
          <w:sz w:val="24"/>
        </w:rPr>
        <w:t>Table 2. Distribution of standardised claim ratios across 335 secondary medical areas (national average = 100), fiscal year 2022.</w:t>
      </w:r>
    </w:p>
    <w:tbl>
      <w:tblPr>
        <w:tblStyle w:val="TableGrid"/>
        <w:tblW w:type="auto" w:w="0"/>
        <w:tblLook w:firstColumn="1" w:firstRow="1" w:lastColumn="0" w:lastRow="0" w:noHBand="0" w:noVBand="1" w:val="04A0"/>
      </w:tblPr>
      <w:tblGrid>
        <w:gridCol w:w="1289"/>
        <w:gridCol w:w="1289"/>
        <w:gridCol w:w="1289"/>
        <w:gridCol w:w="1289"/>
        <w:gridCol w:w="1289"/>
        <w:gridCol w:w="1289"/>
        <w:gridCol w:w="1289"/>
      </w:tblGrid>
      <w:tr>
        <w:tc>
          <w:tcPr>
            <w:tcW w:type="dxa" w:w="1289"/>
          </w:tcPr>
          <w:p>
            <w:r/>
            <w:r>
              <w:rPr>
                <w:rFonts w:ascii="Times New Roman" w:hAnsi="Times New Roman"/>
                <w:b/>
                <w:sz w:val="20"/>
              </w:rPr>
              <w:t>Code</w:t>
            </w:r>
          </w:p>
        </w:tc>
        <w:tc>
          <w:tcPr>
            <w:tcW w:type="dxa" w:w="1289"/>
          </w:tcPr>
          <w:p>
            <w:r/>
            <w:r>
              <w:rPr>
                <w:rFonts w:ascii="Times New Roman" w:hAnsi="Times New Roman"/>
                <w:b/>
                <w:sz w:val="20"/>
              </w:rPr>
              <w:t>n</w:t>
            </w:r>
          </w:p>
        </w:tc>
        <w:tc>
          <w:tcPr>
            <w:tcW w:type="dxa" w:w="1289"/>
          </w:tcPr>
          <w:p>
            <w:r/>
            <w:r>
              <w:rPr>
                <w:rFonts w:ascii="Times New Roman" w:hAnsi="Times New Roman"/>
                <w:b/>
                <w:sz w:val="20"/>
              </w:rPr>
              <w:t>Mean (SD)</w:t>
            </w:r>
          </w:p>
        </w:tc>
        <w:tc>
          <w:tcPr>
            <w:tcW w:type="dxa" w:w="1289"/>
          </w:tcPr>
          <w:p>
            <w:r/>
            <w:r>
              <w:rPr>
                <w:rFonts w:ascii="Times New Roman" w:hAnsi="Times New Roman"/>
                <w:b/>
                <w:sz w:val="20"/>
              </w:rPr>
              <w:t>Median (IQR)</w:t>
            </w:r>
          </w:p>
        </w:tc>
        <w:tc>
          <w:tcPr>
            <w:tcW w:type="dxa" w:w="1289"/>
          </w:tcPr>
          <w:p>
            <w:r/>
            <w:r>
              <w:rPr>
                <w:rFonts w:ascii="Times New Roman" w:hAnsi="Times New Roman"/>
                <w:b/>
                <w:sz w:val="20"/>
              </w:rPr>
              <w:t>Min</w:t>
            </w:r>
          </w:p>
        </w:tc>
        <w:tc>
          <w:tcPr>
            <w:tcW w:type="dxa" w:w="1289"/>
          </w:tcPr>
          <w:p>
            <w:r/>
            <w:r>
              <w:rPr>
                <w:rFonts w:ascii="Times New Roman" w:hAnsi="Times New Roman"/>
                <w:b/>
                <w:sz w:val="20"/>
              </w:rPr>
              <w:t>Max</w:t>
            </w:r>
          </w:p>
        </w:tc>
        <w:tc>
          <w:tcPr>
            <w:tcW w:type="dxa" w:w="1289"/>
          </w:tcPr>
          <w:p>
            <w:r/>
            <w:r>
              <w:rPr>
                <w:rFonts w:ascii="Times New Roman" w:hAnsi="Times New Roman"/>
                <w:b/>
                <w:sz w:val="20"/>
              </w:rPr>
              <w:t>CV (%)</w:t>
            </w:r>
          </w:p>
        </w:tc>
      </w:tr>
      <w:tr>
        <w:tc>
          <w:tcPr>
            <w:tcW w:type="dxa" w:w="1289"/>
          </w:tcPr>
          <w:p>
            <w:r/>
            <w:r>
              <w:rPr>
                <w:rFonts w:ascii="Times New Roman" w:hAnsi="Times New Roman"/>
                <w:sz w:val="20"/>
              </w:rPr>
              <w:t>L008</w:t>
            </w:r>
          </w:p>
        </w:tc>
        <w:tc>
          <w:tcPr>
            <w:tcW w:type="dxa" w:w="1289"/>
          </w:tcPr>
          <w:p>
            <w:r/>
            <w:r>
              <w:rPr>
                <w:rFonts w:ascii="Times New Roman" w:hAnsi="Times New Roman"/>
                <w:sz w:val="20"/>
              </w:rPr>
              <w:t>334</w:t>
            </w:r>
          </w:p>
        </w:tc>
        <w:tc>
          <w:tcPr>
            <w:tcW w:type="dxa" w:w="1289"/>
          </w:tcPr>
          <w:p>
            <w:r/>
            <w:r>
              <w:rPr>
                <w:rFonts w:ascii="Times New Roman" w:hAnsi="Times New Roman"/>
                <w:sz w:val="20"/>
              </w:rPr>
              <w:t>79.7 (42.8)</w:t>
            </w:r>
          </w:p>
        </w:tc>
        <w:tc>
          <w:tcPr>
            <w:tcW w:type="dxa" w:w="1289"/>
          </w:tcPr>
          <w:p>
            <w:r/>
            <w:r>
              <w:rPr>
                <w:rFonts w:ascii="Times New Roman" w:hAnsi="Times New Roman"/>
                <w:sz w:val="20"/>
              </w:rPr>
              <w:t>73.5 (50.0-103.0)</w:t>
            </w:r>
          </w:p>
        </w:tc>
        <w:tc>
          <w:tcPr>
            <w:tcW w:type="dxa" w:w="1289"/>
          </w:tcPr>
          <w:p>
            <w:r/>
            <w:r>
              <w:rPr>
                <w:rFonts w:ascii="Times New Roman" w:hAnsi="Times New Roman"/>
                <w:sz w:val="20"/>
              </w:rPr>
              <w:t>2.3</w:t>
            </w:r>
          </w:p>
        </w:tc>
        <w:tc>
          <w:tcPr>
            <w:tcW w:type="dxa" w:w="1289"/>
          </w:tcPr>
          <w:p>
            <w:r/>
            <w:r>
              <w:rPr>
                <w:rFonts w:ascii="Times New Roman" w:hAnsi="Times New Roman"/>
                <w:sz w:val="20"/>
              </w:rPr>
              <w:t>435.7</w:t>
            </w:r>
          </w:p>
        </w:tc>
        <w:tc>
          <w:tcPr>
            <w:tcW w:type="dxa" w:w="1289"/>
          </w:tcPr>
          <w:p>
            <w:r/>
            <w:r>
              <w:rPr>
                <w:rFonts w:ascii="Times New Roman" w:hAnsi="Times New Roman"/>
                <w:sz w:val="20"/>
              </w:rPr>
              <w:t>53.7</w:t>
            </w:r>
          </w:p>
        </w:tc>
      </w:tr>
      <w:tr>
        <w:tc>
          <w:tcPr>
            <w:tcW w:type="dxa" w:w="1289"/>
          </w:tcPr>
          <w:p>
            <w:r/>
            <w:r>
              <w:rPr>
                <w:rFonts w:ascii="Times New Roman" w:hAnsi="Times New Roman"/>
                <w:sz w:val="20"/>
              </w:rPr>
              <w:t>L002</w:t>
            </w:r>
          </w:p>
        </w:tc>
        <w:tc>
          <w:tcPr>
            <w:tcW w:type="dxa" w:w="1289"/>
          </w:tcPr>
          <w:p>
            <w:r/>
            <w:r>
              <w:rPr>
                <w:rFonts w:ascii="Times New Roman" w:hAnsi="Times New Roman"/>
                <w:sz w:val="20"/>
              </w:rPr>
              <w:t>307</w:t>
            </w:r>
          </w:p>
        </w:tc>
        <w:tc>
          <w:tcPr>
            <w:tcW w:type="dxa" w:w="1289"/>
          </w:tcPr>
          <w:p>
            <w:r/>
            <w:r>
              <w:rPr>
                <w:rFonts w:ascii="Times New Roman" w:hAnsi="Times New Roman"/>
                <w:sz w:val="20"/>
              </w:rPr>
              <w:t>95.6 (83.4)</w:t>
            </w:r>
          </w:p>
        </w:tc>
        <w:tc>
          <w:tcPr>
            <w:tcW w:type="dxa" w:w="1289"/>
          </w:tcPr>
          <w:p>
            <w:r/>
            <w:r>
              <w:rPr>
                <w:rFonts w:ascii="Times New Roman" w:hAnsi="Times New Roman"/>
                <w:sz w:val="20"/>
              </w:rPr>
              <w:t>76.6 (31.2-133.4)</w:t>
            </w:r>
          </w:p>
        </w:tc>
        <w:tc>
          <w:tcPr>
            <w:tcW w:type="dxa" w:w="1289"/>
          </w:tcPr>
          <w:p>
            <w:r/>
            <w:r>
              <w:rPr>
                <w:rFonts w:ascii="Times New Roman" w:hAnsi="Times New Roman"/>
                <w:sz w:val="20"/>
              </w:rPr>
              <w:t>0.9</w:t>
            </w:r>
          </w:p>
        </w:tc>
        <w:tc>
          <w:tcPr>
            <w:tcW w:type="dxa" w:w="1289"/>
          </w:tcPr>
          <w:p>
            <w:r/>
            <w:r>
              <w:rPr>
                <w:rFonts w:ascii="Times New Roman" w:hAnsi="Times New Roman"/>
                <w:sz w:val="20"/>
              </w:rPr>
              <w:t>519.1</w:t>
            </w:r>
          </w:p>
        </w:tc>
        <w:tc>
          <w:tcPr>
            <w:tcW w:type="dxa" w:w="1289"/>
          </w:tcPr>
          <w:p>
            <w:r/>
            <w:r>
              <w:rPr>
                <w:rFonts w:ascii="Times New Roman" w:hAnsi="Times New Roman"/>
                <w:sz w:val="20"/>
              </w:rPr>
              <w:t>87.2</w:t>
            </w:r>
          </w:p>
        </w:tc>
      </w:tr>
      <w:tr>
        <w:tc>
          <w:tcPr>
            <w:tcW w:type="dxa" w:w="1289"/>
          </w:tcPr>
          <w:p>
            <w:r/>
            <w:r>
              <w:rPr>
                <w:rFonts w:ascii="Times New Roman" w:hAnsi="Times New Roman"/>
                <w:sz w:val="20"/>
              </w:rPr>
              <w:t>L003</w:t>
            </w:r>
          </w:p>
        </w:tc>
        <w:tc>
          <w:tcPr>
            <w:tcW w:type="dxa" w:w="1289"/>
          </w:tcPr>
          <w:p>
            <w:r/>
            <w:r>
              <w:rPr>
                <w:rFonts w:ascii="Times New Roman" w:hAnsi="Times New Roman"/>
                <w:sz w:val="20"/>
              </w:rPr>
              <w:t>331</w:t>
            </w:r>
          </w:p>
        </w:tc>
        <w:tc>
          <w:tcPr>
            <w:tcW w:type="dxa" w:w="1289"/>
          </w:tcPr>
          <w:p>
            <w:r/>
            <w:r>
              <w:rPr>
                <w:rFonts w:ascii="Times New Roman" w:hAnsi="Times New Roman"/>
                <w:sz w:val="20"/>
              </w:rPr>
              <w:t>83.5 (54.3)</w:t>
            </w:r>
          </w:p>
        </w:tc>
        <w:tc>
          <w:tcPr>
            <w:tcW w:type="dxa" w:w="1289"/>
          </w:tcPr>
          <w:p>
            <w:r/>
            <w:r>
              <w:rPr>
                <w:rFonts w:ascii="Times New Roman" w:hAnsi="Times New Roman"/>
                <w:sz w:val="20"/>
              </w:rPr>
              <w:t>73.4 (45.0-117.0)</w:t>
            </w:r>
          </w:p>
        </w:tc>
        <w:tc>
          <w:tcPr>
            <w:tcW w:type="dxa" w:w="1289"/>
          </w:tcPr>
          <w:p>
            <w:r/>
            <w:r>
              <w:rPr>
                <w:rFonts w:ascii="Times New Roman" w:hAnsi="Times New Roman"/>
                <w:sz w:val="20"/>
              </w:rPr>
              <w:t>0.4</w:t>
            </w:r>
          </w:p>
        </w:tc>
        <w:tc>
          <w:tcPr>
            <w:tcW w:type="dxa" w:w="1289"/>
          </w:tcPr>
          <w:p>
            <w:r/>
            <w:r>
              <w:rPr>
                <w:rFonts w:ascii="Times New Roman" w:hAnsi="Times New Roman"/>
                <w:sz w:val="20"/>
              </w:rPr>
              <w:t>443.0</w:t>
            </w:r>
          </w:p>
        </w:tc>
        <w:tc>
          <w:tcPr>
            <w:tcW w:type="dxa" w:w="1289"/>
          </w:tcPr>
          <w:p>
            <w:r/>
            <w:r>
              <w:rPr>
                <w:rFonts w:ascii="Times New Roman" w:hAnsi="Times New Roman"/>
                <w:sz w:val="20"/>
              </w:rPr>
              <w:t>65.0</w:t>
            </w:r>
          </w:p>
        </w:tc>
      </w:tr>
      <w:tr>
        <w:tc>
          <w:tcPr>
            <w:tcW w:type="dxa" w:w="1289"/>
          </w:tcPr>
          <w:p>
            <w:r/>
            <w:r>
              <w:rPr>
                <w:rFonts w:ascii="Times New Roman" w:hAnsi="Times New Roman"/>
                <w:sz w:val="20"/>
              </w:rPr>
              <w:t>L004</w:t>
            </w:r>
          </w:p>
        </w:tc>
        <w:tc>
          <w:tcPr>
            <w:tcW w:type="dxa" w:w="1289"/>
          </w:tcPr>
          <w:p>
            <w:r/>
            <w:r>
              <w:rPr>
                <w:rFonts w:ascii="Times New Roman" w:hAnsi="Times New Roman"/>
                <w:sz w:val="20"/>
              </w:rPr>
              <w:t>334</w:t>
            </w:r>
          </w:p>
        </w:tc>
        <w:tc>
          <w:tcPr>
            <w:tcW w:type="dxa" w:w="1289"/>
          </w:tcPr>
          <w:p>
            <w:r/>
            <w:r>
              <w:rPr>
                <w:rFonts w:ascii="Times New Roman" w:hAnsi="Times New Roman"/>
                <w:sz w:val="20"/>
              </w:rPr>
              <w:t>93.8 (53.3)</w:t>
            </w:r>
          </w:p>
        </w:tc>
        <w:tc>
          <w:tcPr>
            <w:tcW w:type="dxa" w:w="1289"/>
          </w:tcPr>
          <w:p>
            <w:r/>
            <w:r>
              <w:rPr>
                <w:rFonts w:ascii="Times New Roman" w:hAnsi="Times New Roman"/>
                <w:sz w:val="20"/>
              </w:rPr>
              <w:t>84.6 (55.8-127.4)</w:t>
            </w:r>
          </w:p>
        </w:tc>
        <w:tc>
          <w:tcPr>
            <w:tcW w:type="dxa" w:w="1289"/>
          </w:tcPr>
          <w:p>
            <w:r/>
            <w:r>
              <w:rPr>
                <w:rFonts w:ascii="Times New Roman" w:hAnsi="Times New Roman"/>
                <w:sz w:val="20"/>
              </w:rPr>
              <w:t>1.0</w:t>
            </w:r>
          </w:p>
        </w:tc>
        <w:tc>
          <w:tcPr>
            <w:tcW w:type="dxa" w:w="1289"/>
          </w:tcPr>
          <w:p>
            <w:r/>
            <w:r>
              <w:rPr>
                <w:rFonts w:ascii="Times New Roman" w:hAnsi="Times New Roman"/>
                <w:sz w:val="20"/>
              </w:rPr>
              <w:t>346.5</w:t>
            </w:r>
          </w:p>
        </w:tc>
        <w:tc>
          <w:tcPr>
            <w:tcW w:type="dxa" w:w="1289"/>
          </w:tcPr>
          <w:p>
            <w:r/>
            <w:r>
              <w:rPr>
                <w:rFonts w:ascii="Times New Roman" w:hAnsi="Times New Roman"/>
                <w:sz w:val="20"/>
              </w:rPr>
              <w:t>56.8</w:t>
            </w:r>
          </w:p>
        </w:tc>
      </w:tr>
      <w:tr>
        <w:tc>
          <w:tcPr>
            <w:tcW w:type="dxa" w:w="1289"/>
          </w:tcPr>
          <w:p>
            <w:r/>
            <w:r>
              <w:rPr>
                <w:rFonts w:ascii="Times New Roman" w:hAnsi="Times New Roman"/>
                <w:sz w:val="20"/>
              </w:rPr>
              <w:t>L009</w:t>
            </w:r>
          </w:p>
        </w:tc>
        <w:tc>
          <w:tcPr>
            <w:tcW w:type="dxa" w:w="1289"/>
          </w:tcPr>
          <w:p>
            <w:r/>
            <w:r>
              <w:rPr>
                <w:rFonts w:ascii="Times New Roman" w:hAnsi="Times New Roman"/>
                <w:sz w:val="20"/>
              </w:rPr>
              <w:t>314</w:t>
            </w:r>
          </w:p>
        </w:tc>
        <w:tc>
          <w:tcPr>
            <w:tcW w:type="dxa" w:w="1289"/>
          </w:tcPr>
          <w:p>
            <w:r/>
            <w:r>
              <w:rPr>
                <w:rFonts w:ascii="Times New Roman" w:hAnsi="Times New Roman"/>
                <w:sz w:val="20"/>
              </w:rPr>
              <w:t>87.3 (49.9)</w:t>
            </w:r>
          </w:p>
        </w:tc>
        <w:tc>
          <w:tcPr>
            <w:tcW w:type="dxa" w:w="1289"/>
          </w:tcPr>
          <w:p>
            <w:r/>
            <w:r>
              <w:rPr>
                <w:rFonts w:ascii="Times New Roman" w:hAnsi="Times New Roman"/>
                <w:sz w:val="20"/>
              </w:rPr>
              <w:t>78.9 (51.4-116.5)</w:t>
            </w:r>
          </w:p>
        </w:tc>
        <w:tc>
          <w:tcPr>
            <w:tcW w:type="dxa" w:w="1289"/>
          </w:tcPr>
          <w:p>
            <w:r/>
            <w:r>
              <w:rPr>
                <w:rFonts w:ascii="Times New Roman" w:hAnsi="Times New Roman"/>
                <w:sz w:val="20"/>
              </w:rPr>
              <w:t>0.1</w:t>
            </w:r>
          </w:p>
        </w:tc>
        <w:tc>
          <w:tcPr>
            <w:tcW w:type="dxa" w:w="1289"/>
          </w:tcPr>
          <w:p>
            <w:r/>
            <w:r>
              <w:rPr>
                <w:rFonts w:ascii="Times New Roman" w:hAnsi="Times New Roman"/>
                <w:sz w:val="20"/>
              </w:rPr>
              <w:t>392.2</w:t>
            </w:r>
          </w:p>
        </w:tc>
        <w:tc>
          <w:tcPr>
            <w:tcW w:type="dxa" w:w="1289"/>
          </w:tcPr>
          <w:p>
            <w:r/>
            <w:r>
              <w:rPr>
                <w:rFonts w:ascii="Times New Roman" w:hAnsi="Times New Roman"/>
                <w:sz w:val="20"/>
              </w:rPr>
              <w:t>57.2</w:t>
            </w:r>
          </w:p>
        </w:tc>
      </w:tr>
      <w:tr>
        <w:tc>
          <w:tcPr>
            <w:tcW w:type="dxa" w:w="1289"/>
          </w:tcPr>
          <w:p>
            <w:r/>
            <w:r>
              <w:rPr>
                <w:rFonts w:ascii="Times New Roman" w:hAnsi="Times New Roman"/>
                <w:sz w:val="20"/>
              </w:rPr>
              <w:t>L100</w:t>
            </w:r>
          </w:p>
        </w:tc>
        <w:tc>
          <w:tcPr>
            <w:tcW w:type="dxa" w:w="1289"/>
          </w:tcPr>
          <w:p>
            <w:r/>
            <w:r>
              <w:rPr>
                <w:rFonts w:ascii="Times New Roman" w:hAnsi="Times New Roman"/>
                <w:sz w:val="20"/>
              </w:rPr>
              <w:t>335</w:t>
            </w:r>
          </w:p>
        </w:tc>
        <w:tc>
          <w:tcPr>
            <w:tcW w:type="dxa" w:w="1289"/>
          </w:tcPr>
          <w:p>
            <w:r/>
            <w:r>
              <w:rPr>
                <w:rFonts w:ascii="Times New Roman" w:hAnsi="Times New Roman"/>
                <w:sz w:val="20"/>
              </w:rPr>
              <w:t>99.8 (77.1)</w:t>
            </w:r>
          </w:p>
        </w:tc>
        <w:tc>
          <w:tcPr>
            <w:tcW w:type="dxa" w:w="1289"/>
          </w:tcPr>
          <w:p>
            <w:r/>
            <w:r>
              <w:rPr>
                <w:rFonts w:ascii="Times New Roman" w:hAnsi="Times New Roman"/>
                <w:sz w:val="20"/>
              </w:rPr>
              <w:t>77.8 (43.7-125.9)</w:t>
            </w:r>
          </w:p>
        </w:tc>
        <w:tc>
          <w:tcPr>
            <w:tcW w:type="dxa" w:w="1289"/>
          </w:tcPr>
          <w:p>
            <w:r/>
            <w:r>
              <w:rPr>
                <w:rFonts w:ascii="Times New Roman" w:hAnsi="Times New Roman"/>
                <w:sz w:val="20"/>
              </w:rPr>
              <w:t>3.0</w:t>
            </w:r>
          </w:p>
        </w:tc>
        <w:tc>
          <w:tcPr>
            <w:tcW w:type="dxa" w:w="1289"/>
          </w:tcPr>
          <w:p>
            <w:r/>
            <w:r>
              <w:rPr>
                <w:rFonts w:ascii="Times New Roman" w:hAnsi="Times New Roman"/>
                <w:sz w:val="20"/>
              </w:rPr>
              <w:t>433.3</w:t>
            </w:r>
          </w:p>
        </w:tc>
        <w:tc>
          <w:tcPr>
            <w:tcW w:type="dxa" w:w="1289"/>
          </w:tcPr>
          <w:p>
            <w:r/>
            <w:r>
              <w:rPr>
                <w:rFonts w:ascii="Times New Roman" w:hAnsi="Times New Roman"/>
                <w:sz w:val="20"/>
              </w:rPr>
              <w:t>77.3</w:t>
            </w:r>
          </w:p>
        </w:tc>
      </w:tr>
    </w:tbl>
    <w:p>
      <w:pPr>
        <w:spacing w:before="120" w:after="240"/>
      </w:pPr>
      <w:r>
        <w:rPr>
          <w:rFonts w:ascii="Times New Roman" w:hAnsi="Times New Roman"/>
          <w:i/>
          <w:sz w:val="24"/>
        </w:rPr>
        <w:t>SD, standard deviation; IQR, interquartile range; CV, coefficient of variation. Areas with low claim volume are masked by the data provider and appear as missing values; the n column reflects the number of secondary medical areas with non-missing values for each code.</w:t>
      </w:r>
    </w:p>
    <w:p>
      <w:pPr>
        <w:spacing w:after="0"/>
      </w:pPr>
    </w:p>
    <w:p>
      <w:pPr>
        <w:spacing w:before="160" w:after="80"/>
      </w:pPr>
      <w:r>
        <w:rPr>
          <w:rFonts w:ascii="Times New Roman" w:hAnsi="Times New Roman"/>
          <w:b/>
          <w:sz w:val="24"/>
        </w:rPr>
        <w:t>Multilevel model and university hospital effect</w:t>
      </w:r>
    </w:p>
    <w:p>
      <w:r>
        <w:rPr>
          <w:rFonts w:ascii="Times New Roman" w:hAnsi="Times New Roman"/>
          <w:sz w:val="24"/>
        </w:rPr>
        <w:t>The null multilevel model showed that only 0.058 of general anaesthesia variance was attributable to the prefecture level (intraclass correlation coefficient 0.058), indicating that 85.5% occurred within prefectures where audit policy is uniform. Spinal anaesthesia showed stronger prefecture-level clustering (intraclass correlation coefficient 0.343), consistent with a greater role of prefectural factors for that code. Adding university hospital presence as a fixed effect produced the largest improvement for general anaesthesia (</w:t>
      </w:r>
      <m:oMath>
        <m:r>
          <m:t xml:space="preserve">marginal </m:t>
        </m:r>
        <m:sSup>
          <m:e>
            <m:r>
              <m:t xml:space="preserve">R</m:t>
            </m:r>
          </m:e>
          <m:sup>
            <m:r>
              <m:t xml:space="preserve">2</m:t>
            </m:r>
          </m:sup>
        </m:sSup>
        <m:r>
          <m:t xml:space="preserve"> </m:t>
        </m:r>
        <m:r>
          <m:t xml:space="preserve">0.358</m:t>
        </m:r>
      </m:oMath>
      <w:r>
        <w:rPr>
          <w:rFonts w:ascii="Times New Roman" w:hAnsi="Times New Roman"/>
          <w:sz w:val="24"/>
        </w:rPr>
        <w:t xml:space="preserve">; </w:t>
      </w:r>
      <m:oMath>
        <m:r>
          <m:t xml:space="preserve">β </m:t>
        </m:r>
        <m:r>
          <m:t xml:space="preserve">= </m:t>
        </m:r>
        <m:r>
          <m:t xml:space="preserve">64.1</m:t>
        </m:r>
        <m:r>
          <m:t xml:space="preserve">, </m:t>
        </m:r>
        <m:r>
          <m:t xml:space="preserve">95% confidence interval </m:t>
        </m:r>
        <m:r>
          <m:t xml:space="preserve">54.8 </m:t>
        </m:r>
        <m:r>
          <m:t xml:space="preserve">to </m:t>
        </m:r>
        <m:r>
          <m:t xml:space="preserve">73.4</m:t>
        </m:r>
      </m:oMath>
      <w:r>
        <w:rPr>
          <w:rFonts w:ascii="Times New Roman" w:hAnsi="Times New Roman"/>
          <w:sz w:val="24"/>
        </w:rPr>
        <w:t xml:space="preserve">) and was statistically significant for every code (all </w:t>
      </w:r>
      <m:oMath>
        <m:r>
          <m:t xml:space="preserve">P </m:t>
        </m:r>
        <m:r>
          <m:t xml:space="preserve">&lt;</m:t>
        </m:r>
        <m:r>
          <m:t xml:space="preserve">0.001</m:t>
        </m:r>
      </m:oMath>
      <w:r>
        <w:rPr>
          <w:rFonts w:ascii="Times New Roman" w:hAnsi="Times New Roman"/>
          <w:sz w:val="24"/>
        </w:rPr>
        <w:t xml:space="preserve">) (Table 3). University hospital areas had higher general anaesthesia ratios than non-university areas in 47 of 47 prefectures, with a mean within-prefecture difference of +63.3 points (paired </w:t>
      </w:r>
      <m:oMath>
        <m:r>
          <m:t xml:space="preserve">t </m:t>
        </m:r>
        <m:r>
          <m:t xml:space="preserve">= </m:t>
        </m:r>
        <m:r>
          <m:t xml:space="preserve">13.28</m:t>
        </m:r>
        <m:r>
          <m:t xml:space="preserve">, </m:t>
        </m:r>
        <m:r>
          <m:t xml:space="preserve">P </m:t>
        </m:r>
        <m:r>
          <m:t xml:space="preserve">&lt;</m:t>
        </m:r>
        <m:r>
          <m:t xml:space="preserve">0.001</m:t>
        </m:r>
      </m:oMath>
      <w:r>
        <w:rPr>
          <w:rFonts w:ascii="Times New Roman" w:hAnsi="Times New Roman"/>
          <w:sz w:val="24"/>
        </w:rPr>
        <w:t>) (Figure 2A). Cohen's d for the university hospital effect on general anaesthesia was 1.88; on continuous epidural infusion 1.12; on epidural anaesthesia 0.59; and on spinal anaesthesia 0.40. A combined measure capturing the general-anaesthesia plus continuous-epidural workflow (mean of L008 and L003 SCR; 331 areas with data for both codes) showed a coefficient of variation of 55.5% and preserved a large university hospital effect (</w:t>
      </w:r>
      <m:oMath>
        <m:r>
          <m:t xml:space="preserve">Cohen's d </m:t>
        </m:r>
        <m:r>
          <m:t xml:space="preserve">1.55</m:t>
        </m:r>
      </m:oMath>
      <w:r>
        <w:rPr>
          <w:rFonts w:ascii="Times New Roman" w:hAnsi="Times New Roman"/>
          <w:sz w:val="24"/>
        </w:rPr>
        <w:t>; university mean 130.3 versus non-university 70.2) (Figure 2B).</w:t>
      </w:r>
    </w:p>
    <w:p>
      <w:pPr>
        <w:spacing w:before="240" w:after="120"/>
      </w:pPr>
      <w:r>
        <w:rPr>
          <w:rFonts w:ascii="Times New Roman" w:hAnsi="Times New Roman"/>
          <w:b/>
          <w:sz w:val="24"/>
        </w:rPr>
        <w:t>Table 3. Multilevel linear mixed model results: standardised claim ratio as outcome, prefecture as random intercept.</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tcPr>
          <w:p>
            <w:r/>
            <w:r>
              <w:rPr>
                <w:rFonts w:ascii="Times New Roman" w:hAnsi="Times New Roman"/>
                <w:b/>
                <w:sz w:val="20"/>
              </w:rPr>
              <w:t>Code</w:t>
            </w:r>
          </w:p>
        </w:tc>
        <w:tc>
          <w:tcPr>
            <w:tcW w:type="dxa" w:w="1805"/>
          </w:tcPr>
          <w:p>
            <w:r/>
            <w:r>
              <w:rPr>
                <w:rFonts w:ascii="Times New Roman" w:hAnsi="Times New Roman"/>
                <w:b/>
                <w:sz w:val="20"/>
              </w:rPr>
              <w:t>Null model ICC</w:t>
            </w:r>
          </w:p>
        </w:tc>
        <w:tc>
          <w:tcPr>
            <w:tcW w:type="dxa" w:w="1805"/>
          </w:tcPr>
          <w:p>
            <w:r/>
            <w:r>
              <w:rPr>
                <w:rFonts w:ascii="Times New Roman" w:hAnsi="Times New Roman"/>
                <w:b/>
                <w:sz w:val="20"/>
              </w:rPr>
            </w:r>
            <m:oMath>
              <m:r>
                <m:t xml:space="preserve">β</m:t>
              </m:r>
            </m:oMath>
            <w:r>
              <w:rPr>
                <w:rFonts w:ascii="Times New Roman" w:hAnsi="Times New Roman"/>
                <w:b/>
                <w:sz w:val="20"/>
              </w:rPr>
              <w:t xml:space="preserve"> university (95% CI)</w:t>
            </w:r>
          </w:p>
        </w:tc>
        <w:tc>
          <w:tcPr>
            <w:tcW w:type="dxa" w:w="1805"/>
          </w:tcPr>
          <w:p>
            <w:r/>
            <w:r>
              <w:rPr>
                <w:rFonts w:ascii="Times New Roman" w:hAnsi="Times New Roman"/>
                <w:b/>
                <w:sz w:val="20"/>
              </w:rPr>
              <w:t>P value</w:t>
            </w:r>
          </w:p>
        </w:tc>
        <w:tc>
          <w:tcPr>
            <w:tcW w:type="dxa" w:w="1805"/>
          </w:tcPr>
          <w:p>
            <w:r/>
            <w:r>
              <w:rPr>
                <w:rFonts w:ascii="Times New Roman" w:hAnsi="Times New Roman"/>
                <w:b/>
                <w:sz w:val="20"/>
              </w:rPr>
              <w:t xml:space="preserve">Marginal </w:t>
            </w:r>
            <m:oMath>
              <m:sSup>
                <m:e>
                  <m:r>
                    <m:t xml:space="preserve">R</m:t>
                  </m:r>
                </m:e>
                <m:sup>
                  <m:r>
                    <m:t xml:space="preserve">2</m:t>
                  </m:r>
                </m:sup>
              </m:sSup>
            </m:oMath>
            <w:r>
              <w:rPr>
                <w:rFonts w:ascii="Times New Roman" w:hAnsi="Times New Roman"/>
                <w:b/>
                <w:sz w:val="20"/>
              </w:rPr>
            </w:r>
          </w:p>
        </w:tc>
      </w:tr>
      <w:tr>
        <w:tc>
          <w:tcPr>
            <w:tcW w:type="dxa" w:w="1805"/>
          </w:tcPr>
          <w:p>
            <w:r/>
            <w:r>
              <w:rPr>
                <w:rFonts w:ascii="Times New Roman" w:hAnsi="Times New Roman"/>
                <w:sz w:val="20"/>
              </w:rPr>
              <w:t>L008</w:t>
            </w:r>
          </w:p>
        </w:tc>
        <w:tc>
          <w:tcPr>
            <w:tcW w:type="dxa" w:w="1805"/>
          </w:tcPr>
          <w:p>
            <w:r/>
            <w:r>
              <w:rPr>
                <w:rFonts w:ascii="Times New Roman" w:hAnsi="Times New Roman"/>
                <w:sz w:val="20"/>
              </w:rPr>
              <w:t>0.058</w:t>
            </w:r>
          </w:p>
        </w:tc>
        <w:tc>
          <w:tcPr>
            <w:tcW w:type="dxa" w:w="1805"/>
          </w:tcPr>
          <w:p>
            <w:r/>
            <w:r>
              <w:rPr>
                <w:rFonts w:ascii="Times New Roman" w:hAnsi="Times New Roman"/>
                <w:sz w:val="20"/>
              </w:rPr>
              <w:t>+64.1 (54.8 to 73.4)</w:t>
            </w:r>
          </w:p>
        </w:tc>
        <w:tc>
          <w:tcPr>
            <w:tcW w:type="dxa" w:w="1805"/>
          </w:tcPr>
          <w:p>
            <w:r/>
            <w:r>
              <w:rPr>
                <w:rFonts w:ascii="Times New Roman" w:hAnsi="Times New Roman"/>
                <w:sz w:val="20"/>
              </w:rPr>
              <w:t>&lt;0.001</w:t>
            </w:r>
          </w:p>
        </w:tc>
        <w:tc>
          <w:tcPr>
            <w:tcW w:type="dxa" w:w="1805"/>
          </w:tcPr>
          <w:p>
            <w:r/>
            <w:r>
              <w:rPr>
                <w:rFonts w:ascii="Times New Roman" w:hAnsi="Times New Roman"/>
                <w:sz w:val="20"/>
              </w:rPr>
              <w:t>0.358</w:t>
            </w:r>
          </w:p>
        </w:tc>
      </w:tr>
      <w:tr>
        <w:tc>
          <w:tcPr>
            <w:tcW w:type="dxa" w:w="1805"/>
          </w:tcPr>
          <w:p>
            <w:r/>
            <w:r>
              <w:rPr>
                <w:rFonts w:ascii="Times New Roman" w:hAnsi="Times New Roman"/>
                <w:sz w:val="20"/>
              </w:rPr>
              <w:t>L002</w:t>
            </w:r>
          </w:p>
        </w:tc>
        <w:tc>
          <w:tcPr>
            <w:tcW w:type="dxa" w:w="1805"/>
          </w:tcPr>
          <w:p>
            <w:r/>
            <w:r>
              <w:rPr>
                <w:rFonts w:ascii="Times New Roman" w:hAnsi="Times New Roman"/>
                <w:sz w:val="20"/>
              </w:rPr>
              <w:t>0.191</w:t>
            </w:r>
          </w:p>
        </w:tc>
        <w:tc>
          <w:tcPr>
            <w:tcW w:type="dxa" w:w="1805"/>
          </w:tcPr>
          <w:p>
            <w:r/>
            <w:r>
              <w:rPr>
                <w:rFonts w:ascii="Times New Roman" w:hAnsi="Times New Roman"/>
                <w:sz w:val="20"/>
              </w:rPr>
              <w:t>+49.0 (27.2 to 70.8)</w:t>
            </w:r>
          </w:p>
        </w:tc>
        <w:tc>
          <w:tcPr>
            <w:tcW w:type="dxa" w:w="1805"/>
          </w:tcPr>
          <w:p>
            <w:r/>
            <w:r>
              <w:rPr>
                <w:rFonts w:ascii="Times New Roman" w:hAnsi="Times New Roman"/>
                <w:sz w:val="20"/>
              </w:rPr>
              <w:t>&lt;0.001</w:t>
            </w:r>
          </w:p>
        </w:tc>
        <w:tc>
          <w:tcPr>
            <w:tcW w:type="dxa" w:w="1805"/>
          </w:tcPr>
          <w:p>
            <w:r/>
            <w:r>
              <w:rPr>
                <w:rFonts w:ascii="Times New Roman" w:hAnsi="Times New Roman"/>
                <w:sz w:val="20"/>
              </w:rPr>
              <w:t>0.125</w:t>
            </w:r>
          </w:p>
        </w:tc>
      </w:tr>
      <w:tr>
        <w:tc>
          <w:tcPr>
            <w:tcW w:type="dxa" w:w="1805"/>
          </w:tcPr>
          <w:p>
            <w:r/>
            <w:r>
              <w:rPr>
                <w:rFonts w:ascii="Times New Roman" w:hAnsi="Times New Roman"/>
                <w:sz w:val="20"/>
              </w:rPr>
              <w:t>L003</w:t>
            </w:r>
          </w:p>
        </w:tc>
        <w:tc>
          <w:tcPr>
            <w:tcW w:type="dxa" w:w="1805"/>
          </w:tcPr>
          <w:p>
            <w:r/>
            <w:r>
              <w:rPr>
                <w:rFonts w:ascii="Times New Roman" w:hAnsi="Times New Roman"/>
                <w:sz w:val="20"/>
              </w:rPr>
              <w:t>0.106</w:t>
            </w:r>
          </w:p>
        </w:tc>
        <w:tc>
          <w:tcPr>
            <w:tcW w:type="dxa" w:w="1805"/>
          </w:tcPr>
          <w:p>
            <w:r/>
            <w:r>
              <w:rPr>
                <w:rFonts w:ascii="Times New Roman" w:hAnsi="Times New Roman"/>
                <w:sz w:val="20"/>
              </w:rPr>
              <w:t>+55.8 (43.0 to 68.7)</w:t>
            </w:r>
          </w:p>
        </w:tc>
        <w:tc>
          <w:tcPr>
            <w:tcW w:type="dxa" w:w="1805"/>
          </w:tcPr>
          <w:p>
            <w:r/>
            <w:r>
              <w:rPr>
                <w:rFonts w:ascii="Times New Roman" w:hAnsi="Times New Roman"/>
                <w:sz w:val="20"/>
              </w:rPr>
              <w:t>&lt;0.001</w:t>
            </w:r>
          </w:p>
        </w:tc>
        <w:tc>
          <w:tcPr>
            <w:tcW w:type="dxa" w:w="1805"/>
          </w:tcPr>
          <w:p>
            <w:r/>
            <w:r>
              <w:rPr>
                <w:rFonts w:ascii="Times New Roman" w:hAnsi="Times New Roman"/>
                <w:sz w:val="20"/>
              </w:rPr>
              <w:t>0.162</w:t>
            </w:r>
          </w:p>
        </w:tc>
      </w:tr>
      <w:tr>
        <w:tc>
          <w:tcPr>
            <w:tcW w:type="dxa" w:w="1805"/>
          </w:tcPr>
          <w:p>
            <w:r/>
            <w:r>
              <w:rPr>
                <w:rFonts w:ascii="Times New Roman" w:hAnsi="Times New Roman"/>
                <w:sz w:val="20"/>
              </w:rPr>
              <w:t>L004</w:t>
            </w:r>
          </w:p>
        </w:tc>
        <w:tc>
          <w:tcPr>
            <w:tcW w:type="dxa" w:w="1805"/>
          </w:tcPr>
          <w:p>
            <w:r/>
            <w:r>
              <w:rPr>
                <w:rFonts w:ascii="Times New Roman" w:hAnsi="Times New Roman"/>
                <w:sz w:val="20"/>
              </w:rPr>
              <w:t>0.343</w:t>
            </w:r>
          </w:p>
        </w:tc>
        <w:tc>
          <w:tcPr>
            <w:tcW w:type="dxa" w:w="1805"/>
          </w:tcPr>
          <w:p>
            <w:r/>
            <w:r>
              <w:rPr>
                <w:rFonts w:ascii="Times New Roman" w:hAnsi="Times New Roman"/>
                <w:sz w:val="20"/>
              </w:rPr>
              <w:t>+23.0 (11.0 to 35.1)</w:t>
            </w:r>
          </w:p>
        </w:tc>
        <w:tc>
          <w:tcPr>
            <w:tcW w:type="dxa" w:w="1805"/>
          </w:tcPr>
          <w:p>
            <w:r/>
            <w:r>
              <w:rPr>
                <w:rFonts w:ascii="Times New Roman" w:hAnsi="Times New Roman"/>
                <w:sz w:val="20"/>
              </w:rPr>
              <w:t>&lt;0.001</w:t>
            </w:r>
          </w:p>
        </w:tc>
        <w:tc>
          <w:tcPr>
            <w:tcW w:type="dxa" w:w="1805"/>
          </w:tcPr>
          <w:p>
            <w:r/>
            <w:r>
              <w:rPr>
                <w:rFonts w:ascii="Times New Roman" w:hAnsi="Times New Roman"/>
                <w:sz w:val="20"/>
              </w:rPr>
              <w:t>0.020</w:t>
            </w:r>
          </w:p>
        </w:tc>
      </w:tr>
    </w:tbl>
    <w:p>
      <w:pPr>
        <w:spacing w:before="120" w:after="240"/>
      </w:pPr>
      <w:r>
        <w:rPr>
          <w:rFonts w:ascii="Times New Roman" w:hAnsi="Times New Roman"/>
          <w:i/>
          <w:sz w:val="24"/>
        </w:rPr>
      </w:r>
      <m:oMath>
        <m:r>
          <m:t xml:space="preserve">β</m:t>
        </m:r>
      </m:oMath>
      <w:r>
        <w:rPr>
          <w:rFonts w:ascii="Times New Roman" w:hAnsi="Times New Roman"/>
          <w:i/>
          <w:sz w:val="24"/>
        </w:rPr>
        <w:t xml:space="preserve"> university, fixed effect coefficient for university hospital presence (binary 0/1); CI, confidence interval; ICC, intraclass correlation coefficient (proportion of variance attributable to prefecture level in the null random-intercept model); Marginal </w:t>
      </w:r>
      <m:oMath>
        <m:sSup>
          <m:e>
            <m:r>
              <m:t xml:space="preserve">R</m:t>
            </m:r>
          </m:e>
          <m:sup>
            <m:r>
              <m:t xml:space="preserve">2</m:t>
            </m:r>
          </m:sup>
        </m:sSup>
      </m:oMath>
      <w:r>
        <w:rPr>
          <w:rFonts w:ascii="Times New Roman" w:hAnsi="Times New Roman"/>
          <w:i/>
          <w:sz w:val="24"/>
        </w:rPr>
        <w:t>, proportional reduction in total (prefecture + residual) variance from the null model after adding the university hospital fixed effect. Models were estimated by restricted maximum likelihood.</w:t>
      </w:r>
    </w:p>
    <w:p>
      <w:r>
        <w:rPr>
          <w:rFonts w:ascii="Times New Roman" w:hAnsi="Times New Roman"/>
          <w:sz w:val="24"/>
        </w:rPr>
        <w:t>A covariate-adjusted sensitivity model added the natural logarithm of population density and the anaesthesiologist share of all physicians (both standardised). The university hospital coefficient was attenuated but remained positive and statistically significant for general anaesthesia (</w:t>
      </w:r>
      <m:oMath>
        <m:r>
          <m:t xml:space="preserve">β </m:t>
        </m:r>
        <m:r>
          <m:t xml:space="preserve">= </m:t>
        </m:r>
        <m:r>
          <m:t xml:space="preserve">+41.8</m:t>
        </m:r>
        <m:r>
          <m:t xml:space="preserve">, </m:t>
        </m:r>
        <m:r>
          <m:t xml:space="preserve">95% CI </m:t>
        </m:r>
        <m:r>
          <m:t xml:space="preserve">32.4 </m:t>
        </m:r>
        <m:r>
          <m:t xml:space="preserve">to </m:t>
        </m:r>
        <m:r>
          <m:t xml:space="preserve">51.2</m:t>
        </m:r>
        <m:r>
          <m:t xml:space="preserve">, </m:t>
        </m:r>
        <m:r>
          <m:t xml:space="preserve">P </m:t>
        </m:r>
        <m:r>
          <m:t xml:space="preserve">&lt;</m:t>
        </m:r>
        <m:r>
          <m:t xml:space="preserve">0.001</m:t>
        </m:r>
      </m:oMath>
      <w:r>
        <w:rPr>
          <w:rFonts w:ascii="Times New Roman" w:hAnsi="Times New Roman"/>
          <w:sz w:val="24"/>
        </w:rPr>
        <w:t>), epidural anaesthesia (</w:t>
      </w:r>
      <m:oMath>
        <m:r>
          <m:t xml:space="preserve">β </m:t>
        </m:r>
        <m:r>
          <m:t xml:space="preserve">= </m:t>
        </m:r>
        <m:r>
          <m:t xml:space="preserve">+39.1</m:t>
        </m:r>
        <m:r>
          <m:t xml:space="preserve">, </m:t>
        </m:r>
        <m:r>
          <m:t xml:space="preserve">95% CI </m:t>
        </m:r>
        <m:r>
          <m:t xml:space="preserve">14.5 </m:t>
        </m:r>
        <m:r>
          <m:t xml:space="preserve">to </m:t>
        </m:r>
        <m:r>
          <m:t xml:space="preserve">63.7</m:t>
        </m:r>
        <m:r>
          <m:t xml:space="preserve">, </m:t>
        </m:r>
        <m:r>
          <m:t xml:space="preserve">P </m:t>
        </m:r>
        <m:r>
          <m:t xml:space="preserve">0.002</m:t>
        </m:r>
      </m:oMath>
      <w:r>
        <w:rPr>
          <w:rFonts w:ascii="Times New Roman" w:hAnsi="Times New Roman"/>
          <w:sz w:val="24"/>
        </w:rPr>
        <w:t>) and continuous epidural infusion (</w:t>
      </w:r>
      <m:oMath>
        <m:r>
          <m:t xml:space="preserve">β </m:t>
        </m:r>
        <m:r>
          <m:t xml:space="preserve">= </m:t>
        </m:r>
        <m:r>
          <m:t xml:space="preserve">+33.9</m:t>
        </m:r>
        <m:r>
          <m:t xml:space="preserve">, </m:t>
        </m:r>
        <m:r>
          <m:t xml:space="preserve">95% CI </m:t>
        </m:r>
        <m:r>
          <m:t xml:space="preserve">20.0 </m:t>
        </m:r>
        <m:r>
          <m:t xml:space="preserve">to </m:t>
        </m:r>
        <m:r>
          <m:t xml:space="preserve">47.7</m:t>
        </m:r>
        <m:r>
          <m:t xml:space="preserve">, </m:t>
        </m:r>
        <m:r>
          <m:t xml:space="preserve">P </m:t>
        </m:r>
        <m:r>
          <m:t xml:space="preserve">&lt;</m:t>
        </m:r>
        <m:r>
          <m:t xml:space="preserve">0.001</m:t>
        </m:r>
      </m:oMath>
      <w:r>
        <w:rPr>
          <w:rFonts w:ascii="Times New Roman" w:hAnsi="Times New Roman"/>
          <w:sz w:val="24"/>
        </w:rPr>
        <w:t>). For spinal anaesthesia the point estimate was positive but no longer statistically significant (</w:t>
      </w:r>
      <m:oMath>
        <m:r>
          <m:t xml:space="preserve">β </m:t>
        </m:r>
        <m:r>
          <m:t xml:space="preserve">= </m:t>
        </m:r>
        <m:r>
          <m:t xml:space="preserve">+9.7</m:t>
        </m:r>
        <m:r>
          <m:t xml:space="preserve">, </m:t>
        </m:r>
        <m:r>
          <m:t xml:space="preserve">95% CI </m:t>
        </m:r>
        <m:r>
          <m:t xml:space="preserve">-4.0 </m:t>
        </m:r>
        <m:r>
          <m:t xml:space="preserve">to </m:t>
        </m:r>
        <m:r>
          <m:t xml:space="preserve">23.3</m:t>
        </m:r>
        <m:r>
          <m:t xml:space="preserve">, </m:t>
        </m:r>
        <m:r>
          <m:t xml:space="preserve">P </m:t>
        </m:r>
        <m:r>
          <m:t xml:space="preserve">0.165</m:t>
        </m:r>
      </m:oMath>
      <w:r>
        <w:rPr>
          <w:rFonts w:ascii="Times New Roman" w:hAnsi="Times New Roman"/>
          <w:sz w:val="24"/>
        </w:rPr>
        <w:t>). Population density was positively associated with general anaesthesia ratios (</w:t>
      </w:r>
      <m:oMath>
        <m:r>
          <m:t xml:space="preserve">β </m:t>
        </m:r>
        <m:r>
          <m:t xml:space="preserve">= </m:t>
        </m:r>
        <m:r>
          <m:t xml:space="preserve">8.3</m:t>
        </m:r>
        <m:r>
          <m:t xml:space="preserve">, </m:t>
        </m:r>
        <m:r>
          <m:t xml:space="preserve">P </m:t>
        </m:r>
        <m:r>
          <m:t xml:space="preserve">&lt;</m:t>
        </m:r>
        <m:r>
          <m:t xml:space="preserve">0.001</m:t>
        </m:r>
      </m:oMath>
      <w:r>
        <w:rPr>
          <w:rFonts w:ascii="Times New Roman" w:hAnsi="Times New Roman"/>
          <w:sz w:val="24"/>
        </w:rPr>
        <w:t>) but not with the other three codes. The anaesthesiologist share was positively associated with general, epidural, continuous epidural and spinal anaesthesia (</w:t>
      </w:r>
      <m:oMath>
        <m:r>
          <m:t xml:space="preserve">P </m:t>
        </m:r>
        <m:r>
          <m:t xml:space="preserve">&lt;</m:t>
        </m:r>
        <m:r>
          <m:t xml:space="preserve">0.001</m:t>
        </m:r>
      </m:oMath>
      <w:r>
        <w:rPr>
          <w:rFonts w:ascii="Times New Roman" w:hAnsi="Times New Roman"/>
          <w:sz w:val="24"/>
        </w:rPr>
        <w:t>, 0.039, &lt;0.001 and 0.005, respectively). The covariate-adjusted mixed models produced optimizer-convergence warnings in Statsmodels;</w:t>
      </w:r>
      <w:r>
        <w:rPr>
          <w:rFonts w:ascii="Times New Roman" w:hAnsi="Times New Roman"/>
          <w:sz w:val="24"/>
          <w:vertAlign w:val="superscript"/>
        </w:rPr>
        <w:t>13</w:t>
      </w:r>
      <w:r>
        <w:rPr>
          <w:rFonts w:ascii="Times New Roman" w:hAnsi="Times New Roman"/>
          <w:sz w:val="24"/>
        </w:rPr>
        <w:t xml:space="preserve"> we therefore refitted them with the lbfgs and cg optimisers, and the point estimates remained stable across optimisers and sensitivity analyses.</w:t>
      </w:r>
    </w:p>
    <w:p>
      <w:pPr>
        <w:spacing w:after="0"/>
      </w:pPr>
    </w:p>
    <w:p>
      <w:pPr>
        <w:spacing w:before="160" w:after="80"/>
      </w:pPr>
      <w:r>
        <w:rPr>
          <w:rFonts w:ascii="Times New Roman" w:hAnsi="Times New Roman"/>
          <w:b/>
          <w:sz w:val="24"/>
        </w:rPr>
        <w:t>Sensitivity analyses against the audit hypothesis</w:t>
      </w:r>
    </w:p>
    <w:p>
      <w:r>
        <w:rPr>
          <w:rFonts w:ascii="Times New Roman" w:hAnsi="Times New Roman"/>
          <w:sz w:val="24"/>
        </w:rPr>
        <w:t>All three pre-specified sensitivity analyses converged in rejecting the audit hypothesis. First, within-prefecture variance decomposition attributed 14.5% of general anaesthesia variance to between-prefecture differences, 40.5% to the university hospital effect within prefecture, and 45.0% to residual within-group variation; the university hospital effect alone explained 47.4% of all within-prefecture variance. Second, general and spinal anaesthesia were positively, not negatively, correlated (</w:t>
      </w:r>
      <m:oMath>
        <m:r>
          <m:t xml:space="preserve">r </m:t>
        </m:r>
        <m:r>
          <m:t xml:space="preserve">= </m:t>
        </m:r>
        <m:r>
          <m:t xml:space="preserve">0.235</m:t>
        </m:r>
        <m:r>
          <m:t xml:space="preserve">, </m:t>
        </m:r>
        <m:r>
          <m:t xml:space="preserve">P </m:t>
        </m:r>
        <m:r>
          <m:t xml:space="preserve">&lt;</m:t>
        </m:r>
        <m:r>
          <m:t xml:space="preserve">0.001</m:t>
        </m:r>
      </m:oMath>
      <w:r>
        <w:rPr>
          <w:rFonts w:ascii="Times New Roman" w:hAnsi="Times New Roman"/>
          <w:sz w:val="24"/>
        </w:rPr>
        <w:t>), as were general and epidural anaesthesia (</w:t>
      </w:r>
      <m:oMath>
        <m:r>
          <m:t xml:space="preserve">r </m:t>
        </m:r>
        <m:r>
          <m:t xml:space="preserve">= </m:t>
        </m:r>
        <m:r>
          <m:t xml:space="preserve">0.319</m:t>
        </m:r>
        <m:r>
          <m:t xml:space="preserve">, </m:t>
        </m:r>
        <m:r>
          <m:t xml:space="preserve">P </m:t>
        </m:r>
        <m:r>
          <m:t xml:space="preserve">&lt;</m:t>
        </m:r>
        <m:r>
          <m:t xml:space="preserve">0.001</m:t>
        </m:r>
      </m:oMath>
      <w:r>
        <w:rPr>
          <w:rFonts w:ascii="Times New Roman" w:hAnsi="Times New Roman"/>
          <w:sz w:val="24"/>
        </w:rPr>
        <w:t>), inconsistent with audit-driven reclassification and consistent with a common supply factor. Third, the maximum prefectural audit-rate difference of 0.28 percentage points could produce a ratio shift of approximately 0.28 points, equivalent to approximately 0.53% of the observed interquartile range for general anaesthesia and 0.27% for epidural anaesthesia. Combining general (L008) and spinal (L004) ratios produced an alternative audit-insensitive measure with a coefficient of variation of 43.4% and a university hospital effect that remained large (</w:t>
      </w:r>
      <m:oMath>
        <m:r>
          <m:t xml:space="preserve">Cohen's d </m:t>
        </m:r>
        <m:r>
          <m:t xml:space="preserve">1.26</m:t>
        </m:r>
      </m:oMath>
      <w:r>
        <w:rPr>
          <w:rFonts w:ascii="Times New Roman" w:hAnsi="Times New Roman"/>
          <w:sz w:val="24"/>
        </w:rPr>
        <w:t>), confirming that the structural effect is not artefactually erased by combining reclassifiable codes.</w:t>
      </w:r>
    </w:p>
    <w:p>
      <w:pPr>
        <w:spacing w:before="160" w:after="80"/>
      </w:pPr>
      <w:r>
        <w:rPr>
          <w:rFonts w:ascii="Times New Roman" w:hAnsi="Times New Roman"/>
          <w:b/>
          <w:sz w:val="24"/>
        </w:rPr>
        <w:t>Robustness: empirical Bayes shrinkage and outliers</w:t>
      </w:r>
    </w:p>
    <w:p>
      <w:r>
        <w:rPr>
          <w:rFonts w:ascii="Times New Roman" w:hAnsi="Times New Roman"/>
          <w:sz w:val="24"/>
        </w:rPr>
        <w:t>Empirical Bayes shrinkage toward prefecture means was implemented as a stress test of the area-level ratios. Under this model, shrinkage substantially compressed the area-level ratios toward their prefecture means. For general anaesthesia, Cohen's d for the university-hospital effect fell from 1.88 (raw) to 0.63 (shrunken), an attenuation of 66.5%; for epidural anaesthesia (L002) from 0.59 to 0.23 (60.6%); and for spinal anaesthesia (L004) from 0.40 to 0.04 (89.9%). The general anaesthesia effect therefore remained of moderate magnitude despite heavy shrinkage, whereas the L002 and L004 effects were materially attenuated, indicating that those smaller raw effects are more vulnerable to sampling instability. These shrinkage estimates are complementary to, and consistent in direction with, the mixed-effects model coefficients reported in Table 3, which themselves incorporate prefecture-level shrinkage. Two areas were identified as outliers (more than three standard deviations from the mean general anaesthesia ratio): Awa (Chiba) in Chiba (ratio 216.7) and central Tokyo (Tokyo) in Tokyo (ratio 435.7). Excluding outliers did not alter the direction or statistical significance of any finding.</w:t>
      </w:r>
    </w:p>
    <w:p>
      <w:pPr>
        <w:spacing w:before="240" w:after="120"/>
      </w:pPr>
      <w:r>
        <w:rPr>
          <w:rFonts w:ascii="Times New Roman" w:hAnsi="Times New Roman"/>
          <w:b/>
          <w:sz w:val="26"/>
        </w:rPr>
        <w:t>DISCUSSION</w:t>
      </w:r>
    </w:p>
    <w:p>
      <w:pPr>
        <w:spacing w:before="160" w:after="80"/>
      </w:pPr>
      <w:r>
        <w:rPr>
          <w:rFonts w:ascii="Times New Roman" w:hAnsi="Times New Roman"/>
          <w:b/>
          <w:sz w:val="24"/>
        </w:rPr>
        <w:t>Statement of principal findings</w:t>
      </w:r>
    </w:p>
    <w:p>
      <w:r>
        <w:rPr>
          <w:rFonts w:ascii="Times New Roman" w:hAnsi="Times New Roman"/>
          <w:sz w:val="24"/>
        </w:rPr>
        <w:t>Regional variation in anaesthesia practice across Japan's 335 secondary medical areas is large and predominantly structural. University hospital presence explained the largest share of variance for general anaesthesia and was positive in every prefecture, while the proportion of variance attributable to prefecture-level factors -- where audit intensity differs -- was small. Three independent sensitivity analyses converged in rejecting differential auditing as the main explanation. Because the outcome is a reimbursed claim ratio, the observed gradient documents service delivery rather than bedside practice directly; however, the within-prefecture structure of the data and the audit-sensitivity analyses make it unlikely that the entire pattern is an artefact of differential scrutiny. The residual variation is therefore best interpreted as a geographically patterned difference in the provision of potentially beneficial anaesthesia services.</w:t>
      </w:r>
    </w:p>
    <w:p>
      <w:pPr>
        <w:spacing w:before="160" w:after="80"/>
      </w:pPr>
      <w:r>
        <w:rPr>
          <w:rFonts w:ascii="Times New Roman" w:hAnsi="Times New Roman"/>
          <w:b/>
          <w:sz w:val="24"/>
        </w:rPr>
        <w:t>Strengths and limitations</w:t>
      </w:r>
    </w:p>
    <w:p>
      <w:r>
        <w:rPr>
          <w:rFonts w:ascii="Times New Roman" w:hAnsi="Times New Roman"/>
          <w:sz w:val="24"/>
        </w:rPr>
        <w:t>Strengths include the use of age- and sex-standardised ratios covering the entire national population; analysis at a fine geographic scale of 335 areas nested within 47 prefectures; multilevel modelling that accounts for the nested data structure; empirical Bayes shrinkage to address low-volume instability; multiple pre-specified sensitivity analyses; and the residence-based ratio definition that mitigates patient travel effects. Limitations are those common to ecological, cross-sectional claims studies: the ecological fallacy;</w:t>
      </w:r>
      <w:r>
        <w:rPr>
          <w:rFonts w:ascii="Times New Roman" w:hAnsi="Times New Roman"/>
          <w:sz w:val="24"/>
          <w:vertAlign w:val="superscript"/>
        </w:rPr>
        <w:t>14</w:t>
      </w:r>
      <w:r>
        <w:rPr>
          <w:rFonts w:ascii="Times New Roman" w:hAnsi="Times New Roman"/>
          <w:sz w:val="24"/>
        </w:rPr>
        <w:t xml:space="preserve"> the inability to infer individual-level treatment from area-level aggregates; the cross-sectional design, which precludes causal inference; the post-audit nature of the data, which reflects reimbursed rather than intended practice; and the partial overlap between university hospital presence and urban concentration. We could not access code-specific audit rates, so the audit-sensitivity bound relies on the aggregate prefectural audit differential. A specific data constraint is that the combined anaesthesia add-on billed under L008 is aggregated with other add-ons in the publicly released regional variation dataset and cannot be extracted separately; patient-level National Database records would be needed to measure the true rate of combined general-epidural anaesthesia. We therefore used L002 (epidural as main technique) and L003 (continuous epidural infusion) as the best available public proxies. A covariate-adjusted sensitivity model added population density and anaesthesiologist share of physicians; the university hospital coefficient remained positive and statistically significant for general, epidural and continuous epidural anaesthesia, but not for spinal anaesthesia. The positive point estimate for spinal anaesthesia is compatible with the same structural gradient in an underpowered model, and may partly reflect a countervailing tendency for neuraxial anaesthesia to be provided in settings where anaesthesiologists are less available. The aggregate data cannot separate these opposing mechanisms, so the adjusted spinal-anaesthesia coefficient is best interpreted as an imprecise net effect.</w:t>
      </w:r>
    </w:p>
    <w:p>
      <w:pPr>
        <w:spacing w:before="160" w:after="80"/>
      </w:pPr>
      <w:r>
        <w:rPr>
          <w:rFonts w:ascii="Times New Roman" w:hAnsi="Times New Roman"/>
          <w:b/>
          <w:sz w:val="24"/>
        </w:rPr>
        <w:t>Interpretation in the wider literature</w:t>
      </w:r>
    </w:p>
    <w:p>
      <w:r>
        <w:rPr>
          <w:rFonts w:ascii="Times New Roman" w:hAnsi="Times New Roman"/>
          <w:sz w:val="24"/>
        </w:rPr>
        <w:t>Our findings are consistent with the broader medical practice-variation literature. The Dartmouth Atlas project documented extensive regional variation in surgical rates in the United States, driven primarily by physician supply and practice style.</w:t>
      </w:r>
      <w:r>
        <w:rPr>
          <w:rFonts w:ascii="Times New Roman" w:hAnsi="Times New Roman"/>
          <w:sz w:val="24"/>
          <w:vertAlign w:val="superscript"/>
        </w:rPr>
        <w:t>15</w:t>
      </w:r>
      <w:r>
        <w:rPr>
          <w:rFonts w:ascii="Times New Roman" w:hAnsi="Times New Roman"/>
          <w:sz w:val="24"/>
        </w:rPr>
        <w:t xml:space="preserve"> Comparable patterns have been described for the National Health Service in England,</w:t>
      </w:r>
      <w:r>
        <w:rPr>
          <w:rFonts w:ascii="Times New Roman" w:hAnsi="Times New Roman"/>
          <w:sz w:val="24"/>
          <w:vertAlign w:val="superscript"/>
        </w:rPr>
        <w:t>16</w:t>
      </w:r>
      <w:r>
        <w:rPr>
          <w:rFonts w:ascii="Times New Roman" w:hAnsi="Times New Roman"/>
          <w:sz w:val="24"/>
        </w:rPr>
        <w:t xml:space="preserve"> Germany</w:t>
      </w:r>
      <w:r>
        <w:rPr>
          <w:rFonts w:ascii="Times New Roman" w:hAnsi="Times New Roman"/>
          <w:sz w:val="24"/>
          <w:vertAlign w:val="superscript"/>
        </w:rPr>
        <w:t>17</w:t>
      </w:r>
      <w:r>
        <w:rPr>
          <w:rFonts w:ascii="Times New Roman" w:hAnsi="Times New Roman"/>
          <w:sz w:val="24"/>
        </w:rPr>
        <w:t xml:space="preserve"> and Australia.</w:t>
      </w:r>
      <w:r>
        <w:rPr>
          <w:rFonts w:ascii="Times New Roman" w:hAnsi="Times New Roman"/>
          <w:sz w:val="24"/>
          <w:vertAlign w:val="superscript"/>
        </w:rPr>
        <w:t>18</w:t>
      </w:r>
      <w:r>
        <w:rPr>
          <w:rFonts w:ascii="Times New Roman" w:hAnsi="Times New Roman"/>
          <w:sz w:val="24"/>
        </w:rPr>
        <w:t xml:space="preserve"> Our study extends this evidence by exploiting Japan's uniform fee schedule combined with prefecture-specific auditing to disentangle administrative and structural sources of variation, and by providing, to our knowledge, the first multilevel small-area analysis of anaesthesia technique under universal coverage in East Asia. The university hospital effect we report (</w:t>
      </w:r>
      <m:oMath>
        <m:r>
          <m:t xml:space="preserve">Cohen's d </m:t>
        </m:r>
        <m:r>
          <m:t xml:space="preserve">= </m:t>
        </m:r>
        <m:r>
          <m:t xml:space="preserve">1.88</m:t>
        </m:r>
      </m:oMath>
      <w:r>
        <w:rPr>
          <w:rFonts w:ascii="Times New Roman" w:hAnsi="Times New Roman"/>
          <w:sz w:val="24"/>
        </w:rPr>
        <w:t>) is substantial, plausibly reflecting the influence of the ikyoku (university medical office) system on practice in affiliated hospitals.</w:t>
      </w:r>
      <w:r>
        <w:rPr>
          <w:rFonts w:ascii="Times New Roman" w:hAnsi="Times New Roman"/>
          <w:sz w:val="24"/>
          <w:vertAlign w:val="superscript"/>
        </w:rPr>
        <w:t>19</w:t>
      </w:r>
    </w:p>
    <w:p>
      <w:r>
        <w:rPr>
          <w:rFonts w:ascii="Times New Roman" w:hAnsi="Times New Roman"/>
          <w:sz w:val="24"/>
        </w:rPr>
        <w:t>The findings are relevant beyond Japan. The within-prefecture variance decomposition we describe is directly transportable to other universal-coverage systems that combine a centrally uniform fee schedule with regionally devolved claims auditing, including Taiwan's National Health Insurance,</w:t>
      </w:r>
      <w:r>
        <w:rPr>
          <w:rFonts w:ascii="Times New Roman" w:hAnsi="Times New Roman"/>
          <w:sz w:val="24"/>
          <w:vertAlign w:val="superscript"/>
        </w:rPr>
        <w:t>20</w:t>
      </w:r>
      <w:r>
        <w:rPr>
          <w:rFonts w:ascii="Times New Roman" w:hAnsi="Times New Roman"/>
          <w:sz w:val="24"/>
        </w:rPr>
        <w:t xml:space="preserve"> South Korea's National Health Insurance Service, and the tariff-based systems of Germany, France and the English National Health Service.</w:t>
      </w:r>
      <w:r>
        <w:rPr>
          <w:rFonts w:ascii="Times New Roman" w:hAnsi="Times New Roman"/>
          <w:sz w:val="24"/>
          <w:vertAlign w:val="superscript"/>
        </w:rPr>
        <w:t>16,17</w:t>
      </w:r>
      <w:r>
        <w:rPr>
          <w:rFonts w:ascii="Times New Roman" w:hAnsi="Times New Roman"/>
          <w:sz w:val="24"/>
        </w:rPr>
        <w:t xml:space="preserve"> The dominance of tertiary-teaching-hospital concentration as a structural determinant of technique choice echoes analogous patterns for teaching-hospital anaesthesia mix in the US and United Kingdom</w:t>
      </w:r>
      <w:r>
        <w:rPr>
          <w:rFonts w:ascii="Times New Roman" w:hAnsi="Times New Roman"/>
          <w:sz w:val="24"/>
          <w:vertAlign w:val="superscript"/>
        </w:rPr>
        <w:t>15,16</w:t>
      </w:r>
      <w:r>
        <w:rPr>
          <w:rFonts w:ascii="Times New Roman" w:hAnsi="Times New Roman"/>
          <w:sz w:val="24"/>
        </w:rPr>
        <w:t xml:space="preserve"> and for other tertiary-intensive specialties across OECD countries.</w:t>
      </w:r>
      <w:r>
        <w:rPr>
          <w:rFonts w:ascii="Times New Roman" w:hAnsi="Times New Roman"/>
          <w:sz w:val="24"/>
          <w:vertAlign w:val="superscript"/>
        </w:rPr>
        <w:t>21</w:t>
      </w:r>
      <w:r>
        <w:rPr>
          <w:rFonts w:ascii="Times New Roman" w:hAnsi="Times New Roman"/>
          <w:sz w:val="24"/>
        </w:rPr>
        <w:t xml:space="preserve"> In contrast to the highly localised, physician-style-driven variation often reported in the US, the Japanese pattern is more strongly organisational, concentrated around university hospitals, and consistent across all 47 prefectures. This suggests that the structural-access explanation is a robust feature of high-income universal-coverage systems rather than a Japanese idiosyncrasy. Extrapolation to low- and middle-income countries should be more cautious, because fee schedules and audit arrangements are typically heterogeneous and claims data often incomplete.</w:t>
      </w:r>
    </w:p>
    <w:p>
      <w:pPr>
        <w:spacing w:before="160" w:after="80"/>
      </w:pPr>
      <w:r>
        <w:rPr>
          <w:rFonts w:ascii="Times New Roman" w:hAnsi="Times New Roman"/>
          <w:b/>
          <w:sz w:val="24"/>
        </w:rPr>
        <w:t>Implications for public health research, practice and policy</w:t>
      </w:r>
    </w:p>
    <w:p>
      <w:r>
        <w:rPr>
          <w:rFonts w:ascii="Times New Roman" w:hAnsi="Times New Roman"/>
          <w:sz w:val="24"/>
        </w:rPr>
        <w:t>Three public-health implications follow from these findings. First, administrative claims data can be used as a surveillance tool to monitor small-area variation in perioperative care under universal coverage, but should be interpreted alongside sensitivity analyses for coding and audit effects. Second, the observed variation in epidural and continuous epidural use signals a potential equity gap: patients' access to techniques that may improve recovery should not depend on whether they live near a university hospital. Third, regulators should focus on workforce and organisational determinants of anaesthesia service delivery rather than treating low regional ratios primarily as coding or fraud problems. The variance-decomposition framework we used is transferable to other procedures and to other countries with a national fee schedule and regional audit variation, offering a practical epidemiologic approach to separating administrative from structural sources of small-area variation.</w:t>
      </w:r>
    </w:p>
    <w:p>
      <w:pPr>
        <w:spacing w:before="240" w:after="120"/>
      </w:pPr>
      <w:r>
        <w:rPr>
          <w:rFonts w:ascii="Times New Roman" w:hAnsi="Times New Roman"/>
          <w:b/>
          <w:sz w:val="26"/>
        </w:rPr>
        <w:t>CONCLUSIONS</w:t>
      </w:r>
    </w:p>
    <w:p>
      <w:r>
        <w:rPr>
          <w:rFonts w:ascii="Times New Roman" w:hAnsi="Times New Roman"/>
          <w:sz w:val="24"/>
        </w:rPr>
        <w:t>Regional variation in anaesthesia practice under universal coverage in Japan is large and predominantly structural, driven by access to university hospitals rather than by prefectural claims auditing. The pattern is best interpreted as a documented-service-delivery gradient with potentially inequitable access to neuraxial techniques. Public health surveillance of small-area variation in surgical and anaesthesia services should separate administrative from structural sources before interpreting claims data as care variation or as coding quality.</w:t>
      </w:r>
    </w:p>
    <w:p>
      <w:pPr>
        <w:spacing w:before="240" w:after="120"/>
      </w:pPr>
      <w:r>
        <w:rPr>
          <w:rFonts w:ascii="Times New Roman" w:hAnsi="Times New Roman"/>
          <w:b/>
          <w:sz w:val="26"/>
        </w:rPr>
        <w:t>REFERENCES</w:t>
      </w:r>
    </w:p>
    <w:p>
      <w:pPr>
        <w:spacing w:after="0" w:line="480" w:lineRule="auto"/>
      </w:pPr>
      <w:r>
        <w:rPr>
          <w:rFonts w:ascii="Times New Roman" w:hAnsi="Times New Roman"/>
          <w:sz w:val="24"/>
        </w:rPr>
        <w:t xml:space="preserve">1. </w:t>
      </w:r>
      <w:r>
        <w:rPr>
          <w:rFonts w:ascii="Times New Roman" w:hAnsi="Times New Roman"/>
          <w:sz w:val="24"/>
        </w:rPr>
        <w:t>Ikegami N, Yoo BK, Hashimoto H, et al. Japanese universal health coverage: evolution, achievements, and challenges. Lancet 2011;378:1106-15.</w:t>
      </w:r>
    </w:p>
    <w:p>
      <w:pPr>
        <w:spacing w:after="0" w:line="480" w:lineRule="auto"/>
      </w:pPr>
      <w:r>
        <w:rPr>
          <w:rFonts w:ascii="Times New Roman" w:hAnsi="Times New Roman"/>
          <w:sz w:val="24"/>
        </w:rPr>
        <w:t xml:space="preserve">2. </w:t>
      </w:r>
      <w:r>
        <w:rPr>
          <w:rFonts w:ascii="Times New Roman" w:hAnsi="Times New Roman"/>
          <w:sz w:val="24"/>
        </w:rPr>
        <w:t>Hashimoto H, Ikegami N, Shibuya K, et al. Cost containment and quality of care in Japan: is there a trade-off? Lancet 2011;378:1174-82.</w:t>
      </w:r>
    </w:p>
    <w:p>
      <w:pPr>
        <w:spacing w:after="0" w:line="480" w:lineRule="auto"/>
      </w:pPr>
      <w:r>
        <w:rPr>
          <w:rFonts w:ascii="Times New Roman" w:hAnsi="Times New Roman"/>
          <w:sz w:val="24"/>
        </w:rPr>
        <w:t xml:space="preserve">3. </w:t>
      </w:r>
      <w:r>
        <w:rPr>
          <w:rFonts w:ascii="Times New Roman" w:hAnsi="Times New Roman"/>
          <w:sz w:val="24"/>
        </w:rPr>
        <w:t>Social Insurance Medical Fee Payment Fund. 審査状況（令和4年度）— 都道府県別医科歯科計審査状況（点数）. Tokyo: Social Insurance Medical Fee Payment Fund, 2023. https://www.ssk.or.jp/smph/tokeijoho/shinsatokei/shinsajokyo_r04.html (accessed 24 Jul 2026).</w:t>
      </w:r>
    </w:p>
    <w:p>
      <w:pPr>
        <w:spacing w:after="0" w:line="480" w:lineRule="auto"/>
      </w:pPr>
      <w:r>
        <w:rPr>
          <w:rFonts w:ascii="Times New Roman" w:hAnsi="Times New Roman"/>
          <w:sz w:val="24"/>
        </w:rPr>
        <w:t xml:space="preserve">4. </w:t>
      </w:r>
      <w:r>
        <w:rPr>
          <w:rFonts w:ascii="Times New Roman" w:hAnsi="Times New Roman"/>
          <w:sz w:val="24"/>
        </w:rPr>
        <w:t>Sessler DI, Pei L, Huang Y, et al. Recurrence of breast cancer after regional or general anaesthesia: a randomised controlled trial. Lancet 2019;394:1807-15.</w:t>
      </w:r>
    </w:p>
    <w:p>
      <w:pPr>
        <w:spacing w:after="0" w:line="480" w:lineRule="auto"/>
      </w:pPr>
      <w:r>
        <w:rPr>
          <w:rFonts w:ascii="Times New Roman" w:hAnsi="Times New Roman"/>
          <w:sz w:val="24"/>
        </w:rPr>
        <w:t xml:space="preserve">5. </w:t>
      </w:r>
      <w:r>
        <w:rPr>
          <w:rFonts w:ascii="Times New Roman" w:hAnsi="Times New Roman"/>
          <w:sz w:val="24"/>
        </w:rPr>
        <w:t>Weng M, Chen W, Hou W, et al. The effect of neuraxial anaesthesia on cancer recurrence and survival after cancer surgery: an updated meta-analysis. Oncotarget 2016;7:15262-73.</w:t>
      </w:r>
    </w:p>
    <w:p>
      <w:pPr>
        <w:spacing w:after="0" w:line="480" w:lineRule="auto"/>
      </w:pPr>
      <w:r>
        <w:rPr>
          <w:rFonts w:ascii="Times New Roman" w:hAnsi="Times New Roman"/>
          <w:sz w:val="24"/>
        </w:rPr>
        <w:t xml:space="preserve">6. </w:t>
      </w:r>
      <w:r>
        <w:rPr>
          <w:rFonts w:ascii="Times New Roman" w:hAnsi="Times New Roman"/>
          <w:sz w:val="24"/>
        </w:rPr>
        <w:t>Ministry of Health, Labour and Welfare. 2026 revision of the medical fee schedule: changes to the medical fee schedule master (R08). Tokyo: MHLW, 2026. https://shinryohoshu.mhlw.go.jp/shinryohoshu/file/info/smente260522.pdf (accessed 24 Jul 2026).</w:t>
      </w:r>
    </w:p>
    <w:p>
      <w:pPr>
        <w:spacing w:after="0" w:line="480" w:lineRule="auto"/>
      </w:pPr>
      <w:r>
        <w:rPr>
          <w:rFonts w:ascii="Times New Roman" w:hAnsi="Times New Roman"/>
          <w:sz w:val="24"/>
        </w:rPr>
        <w:t xml:space="preserve">7. </w:t>
      </w:r>
      <w:r>
        <w:rPr>
          <w:rFonts w:ascii="Times New Roman" w:hAnsi="Times New Roman"/>
          <w:sz w:val="24"/>
        </w:rPr>
        <w:t>von Elm E, Altman DG, Egger M, et al. The Strengthening the Reporting of Observational Studies in Epidemiology (STROBE) statement: guidelines for reporting observational studies. Lancet 2007;370:1453-7.</w:t>
      </w:r>
    </w:p>
    <w:p>
      <w:pPr>
        <w:spacing w:after="0" w:line="480" w:lineRule="auto"/>
      </w:pPr>
      <w:r>
        <w:rPr>
          <w:rFonts w:ascii="Times New Roman" w:hAnsi="Times New Roman"/>
          <w:sz w:val="24"/>
        </w:rPr>
        <w:t xml:space="preserve">8. </w:t>
      </w:r>
      <w:r>
        <w:rPr>
          <w:rFonts w:ascii="Times New Roman" w:hAnsi="Times New Roman"/>
          <w:sz w:val="24"/>
        </w:rPr>
        <w:t>Matsuda S. Health policy in Japan: current situation and future challenges. JMA J 2019;2:1-10.</w:t>
      </w:r>
    </w:p>
    <w:p>
      <w:pPr>
        <w:spacing w:after="0" w:line="480" w:lineRule="auto"/>
      </w:pPr>
      <w:r>
        <w:rPr>
          <w:rFonts w:ascii="Times New Roman" w:hAnsi="Times New Roman"/>
          <w:sz w:val="24"/>
        </w:rPr>
        <w:t xml:space="preserve">9. </w:t>
      </w:r>
      <w:r>
        <w:rPr>
          <w:rFonts w:ascii="Times New Roman" w:hAnsi="Times New Roman"/>
          <w:sz w:val="24"/>
        </w:rPr>
        <w:t>Wennberg JE, Cooper MM, eds. The Dartmouth Atlas of Health Care. Chicago: American Hospital Publishing, 1999.</w:t>
      </w:r>
    </w:p>
    <w:p>
      <w:pPr>
        <w:spacing w:after="0" w:line="480" w:lineRule="auto"/>
      </w:pPr>
      <w:r>
        <w:rPr>
          <w:rFonts w:ascii="Times New Roman" w:hAnsi="Times New Roman"/>
          <w:sz w:val="24"/>
        </w:rPr>
        <w:t xml:space="preserve">10. </w:t>
      </w:r>
      <w:r>
        <w:rPr>
          <w:rFonts w:ascii="Times New Roman" w:hAnsi="Times New Roman"/>
          <w:sz w:val="24"/>
        </w:rPr>
        <w:t>Cabinet Office. Regional variation visualisation (chiikisa no mieruka). https://www5.cao.go.jp/keizai-shimon/kaigi/special/reform/mieruka/chiikisa/index.html (accessed 10 Mar 2026).</w:t>
      </w:r>
    </w:p>
    <w:p>
      <w:pPr>
        <w:spacing w:after="0" w:line="480" w:lineRule="auto"/>
      </w:pPr>
      <w:r>
        <w:rPr>
          <w:rFonts w:ascii="Times New Roman" w:hAnsi="Times New Roman"/>
          <w:sz w:val="24"/>
        </w:rPr>
        <w:t xml:space="preserve">11. </w:t>
      </w:r>
      <w:r>
        <w:rPr>
          <w:rFonts w:ascii="Times New Roman" w:hAnsi="Times New Roman"/>
          <w:sz w:val="24"/>
        </w:rPr>
        <w:t>Ministry of Health, Labour and Welfare. Survey of Physicians, Dentists and Pharmacists 2022 (e-Stat). https://www.e-stat.go.jp (accessed 12 Mar 2026).</w:t>
      </w:r>
    </w:p>
    <w:p>
      <w:pPr>
        <w:spacing w:after="0" w:line="480" w:lineRule="auto"/>
      </w:pPr>
      <w:r>
        <w:rPr>
          <w:rFonts w:ascii="Times New Roman" w:hAnsi="Times New Roman"/>
          <w:sz w:val="24"/>
        </w:rPr>
        <w:t xml:space="preserve">12. </w:t>
      </w:r>
      <w:r>
        <w:rPr>
          <w:rFonts w:ascii="Times New Roman" w:hAnsi="Times New Roman"/>
          <w:sz w:val="24"/>
        </w:rPr>
        <w:t>Ministry of Land, Infrastructure, Transport and Tourism. National Land Numerical Information download service. https://nlftp.mlit.go.jp (accessed 10 Mar 2026).</w:t>
      </w:r>
    </w:p>
    <w:p>
      <w:pPr>
        <w:spacing w:after="0" w:line="480" w:lineRule="auto"/>
      </w:pPr>
      <w:r>
        <w:rPr>
          <w:rFonts w:ascii="Times New Roman" w:hAnsi="Times New Roman"/>
          <w:sz w:val="24"/>
        </w:rPr>
        <w:t xml:space="preserve">13. </w:t>
      </w:r>
      <w:r>
        <w:rPr>
          <w:rFonts w:ascii="Times New Roman" w:hAnsi="Times New Roman"/>
          <w:sz w:val="24"/>
        </w:rPr>
        <w:t>Seabold S, Perktold J. Statsmodels: econometric and statistical modeling with Python. In: Proceedings of the 9th Python in Science Conference. 2010:92-6.</w:t>
      </w:r>
    </w:p>
    <w:p>
      <w:pPr>
        <w:spacing w:after="0" w:line="480" w:lineRule="auto"/>
      </w:pPr>
      <w:r>
        <w:rPr>
          <w:rFonts w:ascii="Times New Roman" w:hAnsi="Times New Roman"/>
          <w:sz w:val="24"/>
        </w:rPr>
        <w:t xml:space="preserve">14. </w:t>
      </w:r>
      <w:r>
        <w:rPr>
          <w:rFonts w:ascii="Times New Roman" w:hAnsi="Times New Roman"/>
          <w:sz w:val="24"/>
        </w:rPr>
        <w:t>Greenland S. Ecologic versus individual-level sources of bias in ecologic estimates of contextual health effects. Int J Epidemiol 2001;30:1343-50.</w:t>
      </w:r>
    </w:p>
    <w:p>
      <w:pPr>
        <w:spacing w:after="0" w:line="480" w:lineRule="auto"/>
      </w:pPr>
      <w:r>
        <w:rPr>
          <w:rFonts w:ascii="Times New Roman" w:hAnsi="Times New Roman"/>
          <w:sz w:val="24"/>
        </w:rPr>
        <w:t xml:space="preserve">15. </w:t>
      </w:r>
      <w:r>
        <w:rPr>
          <w:rFonts w:ascii="Times New Roman" w:hAnsi="Times New Roman"/>
          <w:sz w:val="24"/>
        </w:rPr>
        <w:t>Wennberg JE, Fisher ES, Skinner JS. Geography and the debate over Medicare reform. Health Aff (Millwood) 2002;Suppl Web Exclusives:W96-114.</w:t>
      </w:r>
    </w:p>
    <w:p>
      <w:pPr>
        <w:spacing w:after="0" w:line="480" w:lineRule="auto"/>
      </w:pPr>
      <w:r>
        <w:rPr>
          <w:rFonts w:ascii="Times New Roman" w:hAnsi="Times New Roman"/>
          <w:sz w:val="24"/>
        </w:rPr>
        <w:t xml:space="preserve">16. </w:t>
      </w:r>
      <w:r>
        <w:rPr>
          <w:rFonts w:ascii="Times New Roman" w:hAnsi="Times New Roman"/>
          <w:sz w:val="24"/>
        </w:rPr>
        <w:t>NHS RightCare. The NHS Atlas of Variation in Healthcare. London: Public Health England, 2015.</w:t>
      </w:r>
    </w:p>
    <w:p>
      <w:pPr>
        <w:spacing w:after="0" w:line="480" w:lineRule="auto"/>
      </w:pPr>
      <w:r>
        <w:rPr>
          <w:rFonts w:ascii="Times New Roman" w:hAnsi="Times New Roman"/>
          <w:sz w:val="24"/>
        </w:rPr>
        <w:t xml:space="preserve">17. </w:t>
      </w:r>
      <w:r>
        <w:rPr>
          <w:rFonts w:ascii="Times New Roman" w:hAnsi="Times New Roman"/>
          <w:sz w:val="24"/>
        </w:rPr>
        <w:t>Schäfer T, Pritzkuleit R, Jeszenszky C, et al. Trends and geographical variation of primary hip and knee joint replacement in Germany. Osteoarthritis Cartilage 2013;21:279-88.</w:t>
      </w:r>
    </w:p>
    <w:p>
      <w:pPr>
        <w:spacing w:after="0" w:line="480" w:lineRule="auto"/>
      </w:pPr>
      <w:r>
        <w:rPr>
          <w:rFonts w:ascii="Times New Roman" w:hAnsi="Times New Roman"/>
          <w:sz w:val="24"/>
        </w:rPr>
        <w:t xml:space="preserve">18. </w:t>
      </w:r>
      <w:r>
        <w:rPr>
          <w:rFonts w:ascii="Times New Roman" w:hAnsi="Times New Roman"/>
          <w:sz w:val="24"/>
        </w:rPr>
        <w:t>Australian Commission on Safety and Quality in Health Care. Australian Atlas of Healthcare Variation. Sydney: ACSQHC, 2015.</w:t>
      </w:r>
    </w:p>
    <w:p>
      <w:pPr>
        <w:spacing w:after="0" w:line="480" w:lineRule="auto"/>
      </w:pPr>
      <w:r>
        <w:rPr>
          <w:rFonts w:ascii="Times New Roman" w:hAnsi="Times New Roman"/>
          <w:sz w:val="24"/>
        </w:rPr>
        <w:t xml:space="preserve">19. </w:t>
      </w:r>
      <w:r>
        <w:rPr>
          <w:rFonts w:ascii="Times New Roman" w:hAnsi="Times New Roman"/>
          <w:sz w:val="24"/>
        </w:rPr>
        <w:t>Otsuka T. The ikyoku system of university orthopaedic surgery departments: an in-hospital organisational system unique to Japan. J Orthop Sci 2012;17:513-14.</w:t>
      </w:r>
    </w:p>
    <w:p>
      <w:pPr>
        <w:spacing w:after="0" w:line="480" w:lineRule="auto"/>
      </w:pPr>
      <w:r>
        <w:rPr>
          <w:rFonts w:ascii="Times New Roman" w:hAnsi="Times New Roman"/>
          <w:sz w:val="24"/>
        </w:rPr>
        <w:t xml:space="preserve">20. </w:t>
      </w:r>
      <w:r>
        <w:rPr>
          <w:rFonts w:ascii="Times New Roman" w:hAnsi="Times New Roman"/>
          <w:sz w:val="24"/>
        </w:rPr>
        <w:t>Cheng T-M. Taiwan's new national health insurance program: genesis and experience so far. Health Aff (Millwood) 2003;22:61-76.</w:t>
      </w:r>
    </w:p>
    <w:p>
      <w:pPr>
        <w:spacing w:after="0" w:line="480" w:lineRule="auto"/>
      </w:pPr>
      <w:r>
        <w:rPr>
          <w:rFonts w:ascii="Times New Roman" w:hAnsi="Times New Roman"/>
          <w:sz w:val="24"/>
        </w:rPr>
        <w:t xml:space="preserve">21. </w:t>
      </w:r>
      <w:r>
        <w:rPr>
          <w:rFonts w:ascii="Times New Roman" w:hAnsi="Times New Roman"/>
          <w:sz w:val="24"/>
        </w:rPr>
        <w:t>OECD. Geographic Variations in Health Care: What Do We Know and What Can Be Done to Improve Health System Performance? Paris: OECD Publishing, 2014.</w:t>
      </w:r>
    </w:p>
    <w:p>
      <w:pPr>
        <w:spacing w:before="240" w:after="120"/>
      </w:pPr>
      <w:r>
        <w:rPr>
          <w:rFonts w:ascii="Times New Roman" w:hAnsi="Times New Roman"/>
          <w:b/>
          <w:sz w:val="26"/>
        </w:rPr>
        <w:t>FIGURE LEGENDS</w:t>
      </w:r>
    </w:p>
    <w:p>
      <w:pPr>
        <w:spacing w:before="120" w:after="240"/>
      </w:pPr>
      <w:r>
        <w:rPr>
          <w:rFonts w:ascii="Times New Roman" w:hAnsi="Times New Roman"/>
          <w:sz w:val="24"/>
        </w:rPr>
        <w:t>Figure 1. Geographic distribution of anaesthesia standardised claim ratios across 335 secondary medical areas of Japan, fiscal year 2022. (A) General anaesthesia (L008). (B) Spinal anaesthesia (L004). (C) Epidural anaesthesia as main anaesthetic (L002). (D) Continuous epidural infusion (L003). Choropleth maps shaded by quintile of the standardised claim ratio (national average = 100). Red circles mark secondary medical areas containing at least one university hospital. Areas masked by the data provider owing to low volume are shown in grey.</w:t>
      </w:r>
    </w:p>
    <w:p>
      <w:pPr>
        <w:spacing w:before="120" w:after="240"/>
      </w:pPr>
      <w:r>
        <w:rPr>
          <w:rFonts w:ascii="Times New Roman" w:hAnsi="Times New Roman"/>
          <w:sz w:val="24"/>
        </w:rPr>
        <w:t>Figure 2. University hospital presence and the combined general-anaesthesia plus continuous-epidural measure. (A) Distribution of secondary medical areas containing at least one university hospital (n = 64 of 335; red). (B) Choropleth map of the combined general-anaesthesia plus continuous-epidural standardised claim ratio (mean of L008 and L003 SCR; 331 areas with data for both codes), shaded by quintile. Red circles mark secondary medical areas containing at least one university hospital. Areas masked by the data provider for either code are shown in grey.</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