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8"/>
        </w:rPr>
        <w:t>Regional variation in anaesthesia practice under universal coverage in Japan: a cross-sectional ecological study of secondary medical areas</w:t>
      </w:r>
    </w:p>
    <w:p>
      <w:pPr>
        <w:jc w:val="center"/>
      </w:pPr>
      <w:r>
        <w:rPr>
          <w:rFonts w:ascii="Times New Roman" w:hAnsi="Times New Roman"/>
          <w:b w:val="0"/>
          <w:i/>
          <w:sz w:val="24"/>
        </w:rPr>
        <w:t>[Authors and affiliations to be supplied]</w:t>
      </w:r>
    </w:p>
    <w:p>
      <w:pPr>
        <w:jc w:val="center"/>
      </w:pPr>
      <w:r>
        <w:rPr>
          <w:rFonts w:ascii="Times New Roman" w:hAnsi="Times New Roman"/>
          <w:b w:val="0"/>
          <w:i/>
          <w:sz w:val="24"/>
        </w:rPr>
        <w:t>[Corresponding author: name, postal address, telephone, email]</w:t>
      </w:r>
    </w:p>
    <w:p/>
    <w:p>
      <w:r>
        <w:rPr>
          <w:rFonts w:ascii="Times New Roman" w:hAnsi="Times New Roman"/>
          <w:b w:val="0"/>
          <w:i/>
          <w:sz w:val="24"/>
        </w:rPr>
        <w:t>Article type: Original research article</w:t>
      </w:r>
    </w:p>
    <w:p>
      <w:r>
        <w:rPr>
          <w:rFonts w:ascii="Times New Roman" w:hAnsi="Times New Roman"/>
          <w:i/>
          <w:sz w:val="24"/>
        </w:rPr>
        <w:t>Word count (main text, excluding abstract, references, tables and figures): approximately 2895 words</w:t>
      </w:r>
    </w:p>
    <w:p>
      <w:r>
        <w:rPr>
          <w:rFonts w:ascii="Times New Roman" w:hAnsi="Times New Roman"/>
          <w:i/>
          <w:sz w:val="24"/>
        </w:rPr>
        <w:t>Tables: 3   Figures: 2   References: 21</w:t>
      </w:r>
    </w:p>
    <w:p>
      <w:r>
        <w:rPr>
          <w:rFonts w:ascii="Times New Roman" w:hAnsi="Times New Roman"/>
          <w:b w:val="0"/>
          <w:i/>
          <w:sz w:val="24"/>
        </w:rPr>
        <w:t>Reporting guideline: STROBE checklist for cross-sectional studies</w:t>
      </w:r>
    </w:p>
    <w:p>
      <w:r>
        <w:rPr>
          <w:rFonts w:ascii="Times New Roman" w:hAnsi="Times New Roman"/>
          <w:b w:val="0"/>
          <w:i/>
          <w:sz w:val="24"/>
        </w:rPr>
        <w:t>Target journal: Journal of Epidemiology &amp; Community Health</w:t>
      </w:r>
    </w:p>
    <w:p/>
    <w:p>
      <w:r>
        <w:rPr>
          <w:rFonts w:ascii="Times New Roman" w:hAnsi="Times New Roman"/>
          <w:b/>
          <w:i w:val="0"/>
          <w:sz w:val="24"/>
        </w:rPr>
        <w:t>Declarations</w:t>
      </w:r>
    </w:p>
    <w:p>
      <w:r>
        <w:rPr>
          <w:rFonts w:ascii="Times New Roman" w:hAnsi="Times New Roman"/>
          <w:b w:val="0"/>
          <w:i w:val="0"/>
          <w:sz w:val="24"/>
        </w:rPr>
        <w:t>Ethics approval and consent to participate: This study used publicly available aggregate data only. Ethics committee approval was not required under the Ethical Guidelines for Medical and Biological Research Involving Human Subjects (Japan, 2021 revision).</w:t>
      </w:r>
    </w:p>
    <w:p>
      <w:r>
        <w:rPr>
          <w:rFonts w:ascii="Times New Roman" w:hAnsi="Times New Roman"/>
          <w:b w:val="0"/>
          <w:i w:val="0"/>
          <w:sz w:val="24"/>
        </w:rPr>
        <w:t>Consent for publication: Not applicable.</w:t>
      </w:r>
    </w:p>
    <w:p>
      <w:r>
        <w:rPr>
          <w:rFonts w:ascii="Times New Roman" w:hAnsi="Times New Roman"/>
          <w:b w:val="0"/>
          <w:i w:val="0"/>
          <w:sz w:val="24"/>
        </w:rPr>
        <w:t>Availability of data and materials: All data are publicly available. Standardised claim ratios: Cabinet Office Regional Variation Visualisation (https://www5.cao.go.jp/keizai-shimon/kaigi/special/reform/mieruka/). Physician statistics: e-Stat (https://www.e-stat.go.jp). Geographic boundary data: National Land Numerical Information (https://nlftp.mlit.go.jp). Derived datasets and analysis code are available from the corresponding author on reasonable request.</w:t>
      </w:r>
    </w:p>
    <w:p>
      <w:r>
        <w:rPr>
          <w:rFonts w:ascii="Times New Roman" w:hAnsi="Times New Roman"/>
          <w:b w:val="0"/>
          <w:i w:val="0"/>
          <w:sz w:val="24"/>
        </w:rPr>
        <w:t>Competing interests: [To be completed by the authors.] No known competing interests.</w:t>
      </w:r>
    </w:p>
    <w:p>
      <w:r>
        <w:rPr>
          <w:rFonts w:ascii="Times New Roman" w:hAnsi="Times New Roman"/>
          <w:b w:val="0"/>
          <w:i w:val="0"/>
          <w:sz w:val="24"/>
        </w:rPr>
        <w:t>Funding: [To be completed by the authors.] This work received no specific grant.</w:t>
      </w:r>
    </w:p>
    <w:p>
      <w:r>
        <w:rPr>
          <w:rFonts w:ascii="Times New Roman" w:hAnsi="Times New Roman"/>
          <w:b w:val="0"/>
          <w:i w:val="0"/>
          <w:sz w:val="24"/>
        </w:rPr>
        <w:t>Authors' contributions: [To be completed by the authors.]</w:t>
      </w:r>
    </w:p>
    <w:p>
      <w:r>
        <w:rPr>
          <w:rFonts w:ascii="Times New Roman" w:hAnsi="Times New Roman"/>
          <w:b w:val="0"/>
          <w:i w:val="0"/>
          <w:sz w:val="24"/>
        </w:rPr>
        <w:t>Acknowledgements: The authors thank the Cabinet Office Regional Variation Visualisation initiative, the Ministry of Health, Labour and Welfare, and the Ministry of Land, Infrastructure, Transport and Tourism for maintaining the public datasets used in this study.</w:t>
      </w:r>
    </w:p>
    <w:p>
      <w:r>
        <w:rPr>
          <w:rFonts w:ascii="Times New Roman" w:hAnsi="Times New Roman"/>
          <w:b w:val="0"/>
          <w:i w:val="0"/>
          <w:sz w:val="24"/>
        </w:rPr>
        <w:t>Patient and public involvement: Patients and the public were not involved in the design, conduct or reporting of this study because it uses aggregate, publicly released data.</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