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[Date]</w:t>
      </w:r>
    </w:p>
    <w:p/>
    <w:p>
      <w:r>
        <w:rPr>
          <w:rFonts w:ascii="Times New Roman" w:hAnsi="Times New Roman"/>
          <w:sz w:val="24"/>
        </w:rPr>
        <w:t>Professor Adam Oliver</w:t>
      </w:r>
    </w:p>
    <w:p>
      <w:r>
        <w:rPr>
          <w:rFonts w:ascii="Times New Roman" w:hAnsi="Times New Roman"/>
          <w:sz w:val="24"/>
        </w:rPr>
        <w:t>Editor-in-Chief</w:t>
      </w:r>
    </w:p>
    <w:p>
      <w:r>
        <w:rPr>
          <w:rFonts w:ascii="Times New Roman" w:hAnsi="Times New Roman"/>
          <w:sz w:val="24"/>
        </w:rPr>
        <w:t>Behavioural Public Policy</w:t>
      </w:r>
    </w:p>
    <w:p>
      <w:r>
        <w:rPr>
          <w:rFonts w:ascii="Times New Roman" w:hAnsi="Times New Roman"/>
          <w:sz w:val="24"/>
        </w:rPr>
        <w:t>London School of Economics and Political Science</w:t>
      </w:r>
    </w:p>
    <w:p/>
    <w:p>
      <w:r>
        <w:rPr>
          <w:rFonts w:ascii="Times New Roman" w:hAnsi="Times New Roman"/>
          <w:sz w:val="24"/>
        </w:rPr>
        <w:t>Dear Professor Oliver,</w:t>
      </w:r>
    </w:p>
    <w:p>
      <w:pPr>
        <w:spacing w:after="160" w:line="360" w:lineRule="auto"/>
      </w:pPr>
      <w:r>
        <w:rPr>
          <w:rFonts w:ascii="Times New Roman" w:hAnsi="Times New Roman"/>
          <w:sz w:val="22"/>
        </w:rPr>
        <w:t>We submit an original research article, "Perceived malpractice risk and real workforce allocation: a behavioural-economics analysis of litigation risk and physician specialty supply in Japan", for consideration by Behavioural Public Policy.</w:t>
      </w:r>
    </w:p>
    <w:p>
      <w:pPr>
        <w:spacing w:after="160" w:line="360" w:lineRule="auto"/>
      </w:pPr>
      <w:r>
        <w:rPr>
          <w:rFonts w:ascii="Times New Roman" w:hAnsi="Times New Roman"/>
          <w:sz w:val="22"/>
        </w:rPr>
        <w:t>Behavioural Public Policy advances rigorous, multidisciplinary research that connects the study of human behaviour to public policy. Our study sits squarely within this agenda. It uses a well-documented healthcare workforce problem—specialty maldistribution—as a policy test case and asks whether a salient, emotionally available risk (malpractice litigation) actually changes aggregate career behaviour. Using national administrative data from Japan, we find no association between litigation risk and specialty physician supply, and we bound any effect within a small equivalence margin. The result is informative for behavioural public policy because it shows that a widely perceived risk need not translate into a policy lever when structural incentives, switching costs and status-quo bias constrain individual choice.</w:t>
      </w:r>
    </w:p>
    <w:p>
      <w:pPr>
        <w:spacing w:after="160" w:line="360" w:lineRule="auto"/>
      </w:pPr>
      <w:r>
        <w:rPr>
          <w:rFonts w:ascii="Times New Roman" w:hAnsi="Times New Roman"/>
          <w:sz w:val="22"/>
        </w:rPr>
        <w:t>The behavioural contribution is threefold. First, we show how two common observational fallacies—size confounding in raw administrative counts and interpolation of sparse panel data—can distort the evidence base for a behavioural policy lever. Second, we combine fixed-effects panel methods, equivalence testing, cluster block-bootstrap and power diagnostics to produce an informative null result rather than a mere failure to reject the null. Third, we interpret the null through the lens of behavioural economics: availability, loss aversion and status-quo bias explain why perceived litigation risk can be high while aggregate workforce response is negligible.</w:t>
      </w:r>
    </w:p>
    <w:p>
      <w:pPr>
        <w:spacing w:after="160" w:line="360" w:lineRule="auto"/>
      </w:pPr>
      <w:r>
        <w:rPr>
          <w:rFonts w:ascii="Times New Roman" w:hAnsi="Times New Roman"/>
          <w:sz w:val="22"/>
        </w:rPr>
        <w:t>The national administrative data we use come from Japan, a setting that provides a complete, long-running test case. The analysis is fully reproducible from openly available primary files and code in the project repository (https://github.com/bougtoir/medical-accident-its-analysis). We believe the manuscript will be of interest to behavioural economists, health policy scholars, and public-policy analysts concerned with how risk perception and institutional incentives shape workforce behaviour.</w:t>
      </w:r>
    </w:p>
    <w:p>
      <w:pPr>
        <w:spacing w:after="160" w:line="360" w:lineRule="auto"/>
      </w:pPr>
      <w:r>
        <w:rPr>
          <w:rFonts w:ascii="Times New Roman" w:hAnsi="Times New Roman"/>
          <w:sz w:val="22"/>
        </w:rPr>
        <w:t>The work is original, is not under consideration elsewhere, and all authors approve the submission. We declare no conflicts of interest.</w:t>
      </w:r>
    </w:p>
    <w:p>
      <w:r>
        <w:rPr>
          <w:rFonts w:ascii="Times New Roman" w:hAnsi="Times New Roman"/>
          <w:sz w:val="24"/>
        </w:rPr>
        <w:t>Sincerely,</w:t>
      </w:r>
    </w:p>
    <w:p/>
    <w:p>
      <w:r>
        <w:rPr>
          <w:rFonts w:ascii="Times New Roman" w:hAnsi="Times New Roman"/>
          <w:sz w:val="24"/>
        </w:rPr>
        <w:t>[Corresponding author,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