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Perceived malpractice risk and real workforce allocation: a behavioural-economics analysis of litigation risk and physician specialty supply in Japan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healthcare workforce problem. A common behavioural assumption is that fear of malpractice litigation pushes physicians away from high-risk specialties, but this belief may rest more on the availability of salient adverse events and loss aversion than on actual career decisions. We used national administrative data for 12 clinical specialties in Japan (2008–2024) to test whether litigation risk is associated with subsequent physician or hospital supply. Applying a transparent, reproducible analytical framework that removes size confounding and sparse-panel bias, we measured exposure as closed malpractice claims per 1,000 physicians and regressed biennial log-changes in physicians and hospitals on the lagged litigation rate in a panel with specialty and wave fixed effects, cluster-robust standard errors with a small-cluster correction, a cluster block-bootstrap, two one-sided equivalence (TOST) tests, and power diagnostics. The workforce grew in 11 of 12 specialties; general surgery, which changed by -2.3%, was the exception. The lagged litigation rate was unrelated to physician growth (coefficient -0.0009; 95% CI -0.0043 to +0.0025; p=0.56) or hospital growth (p=0.90). A one-SD higher rate shifted physician growth by less than ±1% (TOST p=0.023). The results suggest that, despite high perceived risk, structural incentives—training costs, fee-for-service income, and status-quo bias—keep physicians in high-risk fields. Reducing civil litigation exposure is therefore unlikely to be an effective behavioural public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the fear of malpractice litigation and medical safety incidents pushes physicians away from these high-risk specialties.</w:t>
      </w:r>
      <w:r>
        <w:rPr>
          <w:rFonts w:ascii="Times New Roman" w:hAnsi="Times New Roman"/>
          <w:vertAlign w:val="superscript"/>
        </w:rPr>
        <w:t>[2-3]</w:t>
      </w:r>
      <w:r>
        <w:rPr>
          <w:rFonts w:ascii="Times New Roman" w:hAnsi="Times New Roman"/>
          <w:b w:val="0"/>
          <w:i w:val="0"/>
          <w:sz w:val="24"/>
        </w:rPr>
        <w:t xml:space="preserve">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w:t>
      </w:r>
      <w:r>
        <w:rPr>
          <w:rFonts w:ascii="Times New Roman" w:hAnsi="Times New Roman"/>
          <w:vertAlign w:val="superscript"/>
        </w:rPr>
        <w:t>[4-5]</w:t>
      </w:r>
      <w:r>
        <w:rPr>
          <w:rFonts w:ascii="Times New Roman" w:hAnsi="Times New Roman"/>
          <w:b w:val="0"/>
          <w:i w:val="0"/>
          <w:sz w:val="24"/>
        </w:rPr>
        <w:t xml:space="preserve"> At the same time, the decision to enter or leave a specialty is constrained by expected income, sunk training costs, switching costs and status-quo bias.</w:t>
      </w:r>
      <w:r>
        <w:rPr>
          <w:rFonts w:ascii="Times New Roman" w:hAnsi="Times New Roman"/>
          <w:vertAlign w:val="superscript"/>
        </w:rPr>
        <w:t>[6]</w:t>
      </w:r>
      <w:r>
        <w:rPr>
          <w:rFonts w:ascii="Times New Roman" w:hAnsi="Times New Roman"/>
          <w:b w:val="0"/>
          <w:i w:val="0"/>
          <w:sz w:val="24"/>
        </w:rPr>
        <w:t xml:space="preserve">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w:t>
      </w:r>
      <w:r>
        <w:rPr>
          <w:rFonts w:ascii="Times New Roman" w:hAnsi="Times New Roman"/>
          <w:vertAlign w:val="superscript"/>
        </w:rPr>
        <w:t>[7-9]</w:t>
      </w:r>
      <w:r>
        <w:rPr>
          <w:rFonts w:ascii="Times New Roman" w:hAnsi="Times New Roman"/>
          <w:b w:val="0"/>
          <w:i w:val="0"/>
          <w:sz w:val="24"/>
        </w:rPr>
        <w:t xml:space="preserve"> It also introduced the Japan Obstetric Compensation System for Cerebral Palsy (JOCS-CP) in 2009, a no-fault scheme intended partly to address obstetric workforce concerns.</w:t>
      </w:r>
      <w:r>
        <w:rPr>
          <w:rFonts w:ascii="Times New Roman" w:hAnsi="Times New Roman"/>
          <w:vertAlign w:val="superscript"/>
        </w:rPr>
        <w:t>[10-11]</w:t>
      </w:r>
      <w:r>
        <w:rPr>
          <w:rFonts w:ascii="Times New Roman" w:hAnsi="Times New Roman"/>
          <w:b w:val="0"/>
          <w:i w:val="0"/>
          <w:sz w:val="24"/>
        </w:rPr>
        <w:t xml:space="preserve"> Surveys of residents in Japan, Korea and Taiwan report litigation as a negative factor, but workload, lifestyle and professional interest dominate specialty choice.</w:t>
      </w:r>
      <w:r>
        <w:rPr>
          <w:rFonts w:ascii="Times New Roman" w:hAnsi="Times New Roman"/>
          <w:vertAlign w:val="superscript"/>
        </w:rPr>
        <w:t>[12]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w:t>
      </w:r>
      <w:r>
        <w:rPr>
          <w:rFonts w:ascii="Times New Roman" w:hAnsi="Times New Roman"/>
          <w:vertAlign w:val="superscript"/>
        </w:rPr>
        <w:t>[13-14]</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[15]</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[7]</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[9]</w:t>
      </w:r>
      <w:r>
        <w:rPr>
          <w:rFonts w:ascii="Times New Roman" w:hAnsi="Times New Roman"/>
          <w:b w:val="0"/>
          <w:i w:val="0"/>
          <w:sz w:val="24"/>
        </w:rPr>
        <w:t xml:space="preserve"> Two sensitivity series were also used: annual medical accident investigation reports by specialty from the Japan Medical Safety Research Organisation (JMSR, 2015-2024)</w:t>
      </w:r>
      <w:r>
        <w:rPr>
          <w:rFonts w:ascii="Times New Roman" w:hAnsi="Times New Roman"/>
          <w:vertAlign w:val="superscript"/>
        </w:rPr>
        <w:t>[16]</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[17]</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[7]</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[18]</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[19]</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[13-14]</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policymakers evaluating this behavioural lever.</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[20]</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[10]</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[18]</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[17]</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[21]</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[22]</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[4-5]</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[6]</w:t>
      </w:r>
      <w:r>
        <w:rPr>
          <w:rFonts w:ascii="Times New Roman" w:hAnsi="Times New Roman"/>
          <w:b w:val="0"/>
          <w:i w:val="0"/>
          <w:sz w:val="24"/>
        </w:rPr>
        <w:t xml:space="preserve"> The gap between reported anxiety and measured supply is therefore not a contradiction; it is exactly what one would expect when a vivid, low-probability risk meets strong economic and institutional incentives to remain.</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[23]</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[11]</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[24]</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[25]</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[12]</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A review of U.S. evidence by Helland and Seabury concluded that the measured impacts on physician supply are generally modest and sensitive to specification.</w:t>
      </w:r>
      <w:r>
        <w:rPr>
          <w:rFonts w:ascii="Times New Roman" w:hAnsi="Times New Roman"/>
          <w:vertAlign w:val="superscript"/>
        </w:rPr>
        <w:t>[26]</w:t>
      </w:r>
      <w:r>
        <w:rPr>
          <w:rFonts w:ascii="Times New Roman" w:hAnsi="Times New Roman"/>
          <w:b w:val="0"/>
          <w:i w:val="0"/>
          <w:sz w:val="24"/>
        </w:rPr>
        <w:t xml:space="preserve"> Matsa found that U.S. state damage caps increased the supply of frontier rural specialists by 10-12 percent, but did not affect physician supply for the average resident.</w:t>
      </w:r>
      <w:r>
        <w:rPr>
          <w:rFonts w:ascii="Times New Roman" w:hAnsi="Times New Roman"/>
          <w:vertAlign w:val="superscript"/>
        </w:rPr>
        <w:t>[27]</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[28]</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localised and modest.</w:t>
      </w:r>
      <w:r>
        <w:rPr>
          <w:rFonts w:ascii="Times New Roman" w:hAnsi="Times New Roman"/>
          <w:vertAlign w:val="superscript"/>
        </w:rPr>
        <w:t>[29]</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[30]</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[31]</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[7]</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Tversky A, Kahneman D. Availability: a heuristic for judging frequency and probability. Cogn Psychol. 1973;5(2):207-232.</w:t>
      </w:r>
    </w:p>
    <w:p>
      <w:pPr>
        <w:spacing w:line="360" w:lineRule="auto"/>
      </w:pPr>
      <w:r>
        <w:rPr>
          <w:rFonts w:ascii="Times New Roman" w:hAnsi="Times New Roman"/>
          <w:sz w:val="20"/>
        </w:rPr>
        <w:t>5. Kahneman D, Tversky A. Prospect theory: an analysis of decision under risk. Econometrica. 1979;47(2):263-291.</w:t>
      </w:r>
    </w:p>
    <w:p>
      <w:pPr>
        <w:spacing w:line="360" w:lineRule="auto"/>
      </w:pPr>
      <w:r>
        <w:rPr>
          <w:rFonts w:ascii="Times New Roman" w:hAnsi="Times New Roman"/>
          <w:sz w:val="20"/>
        </w:rPr>
        <w:t>6. Samuelson W, Zeckhauser R. Status quo bias in decision making. J Risk Uncertain. 1988;1(1):7-59.</w:t>
      </w:r>
    </w:p>
    <w:p>
      <w:pPr>
        <w:spacing w:line="360" w:lineRule="auto"/>
      </w:pPr>
      <w:r>
        <w:rPr>
          <w:rFonts w:ascii="Times New Roman" w:hAnsi="Times New Roman"/>
          <w:sz w:val="20"/>
        </w:rPr>
        <w:t>7.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10. Japan Council for Quality Health Care. Japan Obstetric Compensation System for Cerebral Palsy. Tokyo: Japan Council for Quality Health Care; 2009.</w:t>
      </w:r>
    </w:p>
    <w:p>
      <w:pPr>
        <w:spacing w:line="360" w:lineRule="auto"/>
      </w:pPr>
      <w:r>
        <w:rPr>
          <w:rFonts w:ascii="Times New Roman" w:hAnsi="Times New Roman"/>
          <w:sz w:val="20"/>
        </w:rPr>
        <w:t>11.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12.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13. Lakens D. Equivalence tests: a practical primer for t tests, correlations, and meta-analyses. Soc Psychol Personal Sci. 2017;8(4):355-362.</w:t>
      </w:r>
    </w:p>
    <w:p>
      <w:pPr>
        <w:spacing w:line="360" w:lineRule="auto"/>
      </w:pPr>
      <w:r>
        <w:rPr>
          <w:rFonts w:ascii="Times New Roman" w:hAnsi="Times New Roman"/>
          <w:sz w:val="20"/>
        </w:rPr>
        <w:t>14.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15. von Elm E, Altman DG, Egger M, et al. The STROBE statement. Lancet. 2007;370(9596):1453-1457.</w:t>
      </w:r>
    </w:p>
    <w:p>
      <w:pPr>
        <w:spacing w:line="360" w:lineRule="auto"/>
      </w:pPr>
      <w:r>
        <w:rPr>
          <w:rFonts w:ascii="Times New Roman" w:hAnsi="Times New Roman"/>
          <w:sz w:val="20"/>
        </w:rPr>
        <w:t>16. Japan Medical Safety Research Organisation. Annual reports of medical accident investigations (2015-2024). Tokyo: JMSR; 2025.</w:t>
      </w:r>
    </w:p>
    <w:p>
      <w:pPr>
        <w:spacing w:line="360" w:lineRule="auto"/>
      </w:pPr>
      <w:r>
        <w:rPr>
          <w:rFonts w:ascii="Times New Roman" w:hAnsi="Times New Roman"/>
          <w:sz w:val="20"/>
        </w:rPr>
        <w:t>17. Nikkei Inc. Nikkei Telecom 21. Tokyo: Nikkei Inc. Accessed 2024. Available from: https://telecom21.nikkei.co.jp/.</w:t>
      </w:r>
    </w:p>
    <w:p>
      <w:pPr>
        <w:spacing w:line="360" w:lineRule="auto"/>
      </w:pPr>
      <w:r>
        <w:rPr>
          <w:rFonts w:ascii="Times New Roman" w:hAnsi="Times New Roman"/>
          <w:sz w:val="20"/>
        </w:rPr>
        <w:t>18. Act on the Promotion of Medical Safety; Medical Accident Investigation System (2015). Tokyo: MHLW; 2015.</w:t>
      </w:r>
    </w:p>
    <w:p>
      <w:pPr>
        <w:spacing w:line="360" w:lineRule="auto"/>
      </w:pPr>
      <w:r>
        <w:rPr>
          <w:rFonts w:ascii="Times New Roman" w:hAnsi="Times New Roman"/>
          <w:sz w:val="20"/>
        </w:rPr>
        <w:t>19. Angrist JD, Pischke JS. Mostly Harmless Econometrics. Princeton: Princeton University Press; 2009.</w:t>
      </w:r>
    </w:p>
    <w:p>
      <w:pPr>
        <w:spacing w:line="360" w:lineRule="auto"/>
      </w:pPr>
      <w:r>
        <w:rPr>
          <w:rFonts w:ascii="Times New Roman" w:hAnsi="Times New Roman"/>
          <w:sz w:val="20"/>
        </w:rPr>
        <w:t>20. Cameron AC, Miller DL. A practitioner's guide to cluster-robust inference. J Hum Resour. 2015;50(2):317-372.</w:t>
      </w:r>
    </w:p>
    <w:p>
      <w:pPr>
        <w:spacing w:line="360" w:lineRule="auto"/>
      </w:pPr>
      <w:r>
        <w:rPr>
          <w:rFonts w:ascii="Times New Roman" w:hAnsi="Times New Roman"/>
          <w:sz w:val="20"/>
        </w:rPr>
        <w:t>21. Kessler DP, McClellan MB. Do doctors practice defensive medicine?. Q J Econ. 1996;111(2):353-390.</w:t>
      </w:r>
    </w:p>
    <w:p>
      <w:pPr>
        <w:spacing w:line="360" w:lineRule="auto"/>
      </w:pPr>
      <w:r>
        <w:rPr>
          <w:rFonts w:ascii="Times New Roman" w:hAnsi="Times New Roman"/>
          <w:sz w:val="20"/>
        </w:rPr>
        <w:t>22. Sloan FA, Shadle JH. Is there empirical evidence for "Defensive Medicine"? A reassessment. J Health Econ. 2008;27(2):481-491.</w:t>
      </w:r>
    </w:p>
    <w:p>
      <w:pPr>
        <w:spacing w:line="360" w:lineRule="auto"/>
      </w:pPr>
      <w:r>
        <w:rPr>
          <w:rFonts w:ascii="Times New Roman" w:hAnsi="Times New Roman"/>
          <w:sz w:val="20"/>
        </w:rPr>
        <w:t>23. Taniguchi K, Watari T, Nagoshi K. Characteristics and trends of medical malpractice claims in Japan between 2006 and 2021. PLoS One. 2023;18(12):e0296155.</w:t>
      </w:r>
    </w:p>
    <w:p>
      <w:pPr>
        <w:spacing w:line="360" w:lineRule="auto"/>
      </w:pPr>
      <w:r>
        <w:rPr>
          <w:rFonts w:ascii="Times New Roman" w:hAnsi="Times New Roman"/>
          <w:sz w:val="20"/>
        </w:rPr>
        <w:t>24. Morita H. Criminal prosecution and physician supply. Int Rev Law Econ. 2018;55:1-11.</w:t>
      </w:r>
    </w:p>
    <w:p>
      <w:pPr>
        <w:spacing w:line="360" w:lineRule="auto"/>
      </w:pPr>
      <w:r>
        <w:rPr>
          <w:rFonts w:ascii="Times New Roman" w:hAnsi="Times New Roman"/>
          <w:sz w:val="20"/>
        </w:rPr>
        <w:t>25.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26. Helland E, Seabury SA. Tort reform and physician labor supply: a review of the evidence. Int Rev Law Econ. 2015;42:192-202.</w:t>
      </w:r>
    </w:p>
    <w:p>
      <w:pPr>
        <w:spacing w:line="360" w:lineRule="auto"/>
      </w:pPr>
      <w:r>
        <w:rPr>
          <w:rFonts w:ascii="Times New Roman" w:hAnsi="Times New Roman"/>
          <w:sz w:val="20"/>
        </w:rPr>
        <w:t>27. Matsa DA. Does malpractice liability keep the doctor away? Evidence from tort reform damage caps. J Legal Stud. 2007;36(S2):S143-S182.</w:t>
      </w:r>
    </w:p>
    <w:p>
      <w:pPr>
        <w:spacing w:line="360" w:lineRule="auto"/>
      </w:pPr>
      <w:r>
        <w:rPr>
          <w:rFonts w:ascii="Times New Roman" w:hAnsi="Times New Roman"/>
          <w:sz w:val="20"/>
        </w:rPr>
        <w:t>28. Hyman DA, Silver C, Black B, Paik M. Does tort reform affect physician supply? Evidence from Texas. Int Rev Law Econ. 2015;42:203-218.</w:t>
      </w:r>
    </w:p>
    <w:p>
      <w:pPr>
        <w:spacing w:line="360" w:lineRule="auto"/>
      </w:pPr>
      <w:r>
        <w:rPr>
          <w:rFonts w:ascii="Times New Roman" w:hAnsi="Times New Roman"/>
          <w:sz w:val="20"/>
        </w:rPr>
        <w:t>29. Frakes MD, Frank MB, Seabury SA. The effect of malpractice law on physician supply: Evidence from negligence-standard reforms. J Health Econ. 2020;70:1-16.</w:t>
      </w:r>
    </w:p>
    <w:p>
      <w:pPr>
        <w:spacing w:line="360" w:lineRule="auto"/>
      </w:pPr>
      <w:r>
        <w:rPr>
          <w:rFonts w:ascii="Times New Roman" w:hAnsi="Times New Roman"/>
          <w:sz w:val="20"/>
        </w:rPr>
        <w:t>30.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31. Mello MM, Kachalia A, Studdert DM. Administrative compensation for medical injuries: lessons from three foreign systems. New York: The Commonwealth Fund;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