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Perceived malpractice risk and real workforce allocation: a behavioural-economics analysis of litigation risk and physician specialty supply in Japan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4229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7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