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physician specialty supply: a Japanese test of behavioural risk perception</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workforce problem. A common assumption is that malpractice litigation pushes physicians away from high-risk specialties, but this may reflect salient adverse events more than actual decisions. Using national administrative data for 12 clinical specialties in Japan (2008–2024), we tested whether litigation risk predicts physician and hospital supply. We measured exposure as closed malpractice claims per 1,000 physicians and regressed biennial log-changes in physician and hospital counts on the lagged litigation rate in a panel with specialty and wave fixed effects, cluster-robust standard errors, and equivalence tests. The workforce grew in 11 of 12 specialties; only general surgery, which changed by -2.3%, declined. Litigation rate was unrelated to physician growth (coefficient -0.0009; 95% CI -0.0043 to +0.0025; p=0.56) or hospital growth (p=0.90), and a one-SD higher rate shifted physician growth by less than ±1% (TOST p=0.023). Despite high perceived risk, structural incentives—training costs, fee-for-service income, and status-quo bias—appear to keep physicians in high-risk fields. Reducing civil litigation exposure is therefore unlikely to be an effective policy lever for correcting specialty maldistribution; structural incentives such as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emergency care are widely perceived as understaffed across many health systems. (Matsumoto et al., 2010) A recurring policy intuition is that the fear of malpractice litigation and medical safety incidents pushes physicians away from these high-risk specialties. (Studdert, Mello and Brennan, 2004; Hiyama et al., 2006) If this behavioural assumption were true, reducing litigation exposure would be a lever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 (Tversky and Kahneman, 1973; Kahneman and Tversky, 1979) At the same time, the decision to enter or leave a specialty is constrained by expected income, sunk training costs, switching costs and status-quo bias. (Samuelson and Zeckhauser, 1988) The relevant policy question is therefore not whether physicians report anxiety about litigation, but whether that anxiety translates into aggregate workforce shifts. We treat the litigation-workforce question as a test case for evaluating a behavioural public policy lever: can a salient, emotionally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counts, and the country shares the fee-for-service pressures seen in other high-income countries. (Supreme Court of Japan, 2024; Ministry of Health, Labour and Welfare, 2024a; Ministry of Health, Labour and Welfare, 2024b) It also introduced the Japan Obstetric Compensation System for Cerebral Palsy (JOCS-CP) in 2009, a no-fault scheme intended partly to address obstetric workforce concerns.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2024a); closed malpractice claims by specialty from the Supreme Court of Japan (Supreme Court of Japan, 2024); and hospital counts by specialty from the annual Survey of Medical Institutions. (Ministry of Health, Labour and Welfare, 2024b) Two sensitivity series were also used: annual medical accident investigation reports by specialty (2015-2024) from the Japan Medical Safety Research Organisation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Supplementary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Supplementary Figure 1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lagged litigation rate at the start of the interval, in a panel with specialty and wave fixed effects, cluster-robust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+γ·</m:t>
        </m:r>
        <m:sSub>
          <m:e>
            <m:r>
              <m:rPr>
                <m:nor/>
              </m:rPr>
              <m:t>JOCS-CP</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chosen because they are smaller than typical policy targets for specialty rebalancing.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robustness checks are given in Supplementary Note 1.</w:t>
      </w:r>
    </w:p>
    <w:p>
      <w:pPr>
        <w:pStyle w:val="Heading2"/>
      </w:pPr>
      <w:r>
        <w:rPr>
          <w:rFonts w:ascii="Times New Roman" w:hAnsi="Times New Roman"/>
          <w:color w:val="000000"/>
        </w:rPr>
        <w:t>Policy lever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Supplementary Table 1.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jc w:val="center"/>
      </w:pPr>
      <w:r>
        <w:rPr>
          <w:rFonts w:ascii="Times New Roman" w:hAnsi="Times New Roman"/>
          <w:i/>
          <w:sz w:val="20"/>
        </w:rPr>
        <w:t>Table 1 about here</w:t>
      </w:r>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jc w:val="center"/>
      </w:pPr>
      <w:r>
        <w:rPr>
          <w:rFonts w:ascii="Times New Roman" w:hAnsi="Times New Roman"/>
          <w:i/>
          <w:sz w:val="20"/>
        </w:rPr>
        <w:t>Figure 1 about here</w:t>
      </w:r>
    </w:p>
    <w:p>
      <w:pPr>
        <w:jc w:val="center"/>
      </w:pPr>
      <w:r>
        <w:rPr>
          <w:rFonts w:ascii="Times New Roman" w:hAnsi="Times New Roman"/>
          <w:i/>
          <w:sz w:val="20"/>
        </w:rPr>
        <w:t>Table 2 about here</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therefore treat it as exploratory and do not interpret it as a causal policy effect.</w:t>
      </w:r>
    </w:p>
    <w:p>
      <w:pPr>
        <w:jc w:val="center"/>
      </w:pPr>
      <w:r>
        <w:rPr>
          <w:rFonts w:ascii="Times New Roman" w:hAnsi="Times New Roman"/>
          <w:i/>
          <w:sz w:val="20"/>
        </w:rPr>
        <w:t>Figure 2 about here</w:t>
      </w:r>
    </w:p>
    <w:p>
      <w:pPr>
        <w:spacing w:line="480" w:lineRule="auto" w:after="120"/>
      </w:pPr>
      <w:r>
        <w:rPr>
          <w:rFonts w:ascii="Times New Roman" w:hAnsi="Times New Roman"/>
          <w:b w:val="0"/>
          <w:i w:val="0"/>
          <w:sz w:val="24"/>
        </w:rPr>
        <w:t>The same count-versus-rate contrast for biennial hospital growth is shown in Figure 3. As with physician growth, the count exposure creates a spurious size confound that disappears once the rate-adjusted exposure is used.</w:t>
      </w:r>
    </w:p>
    <w:p>
      <w:pPr>
        <w:jc w:val="center"/>
      </w:pPr>
      <w:r>
        <w:rPr>
          <w:rFonts w:ascii="Times New Roman" w:hAnsi="Times New Roman"/>
          <w:i/>
          <w:sz w:val="20"/>
        </w:rPr>
        <w:t>Figure 3 about here</w:t>
      </w:r>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(JMSR, 2025)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therefore informative enough to rule out policy-relevant effects for physicians, and to bound any hospital effect within a small margin.</w:t>
      </w:r>
    </w:p>
    <w:p>
      <w:pPr>
        <w:spacing w:line="480" w:lineRule="auto" w:after="120"/>
      </w:pPr>
      <w:r>
        <w:rPr>
          <w:rFonts w:ascii="Times New Roman" w:hAnsi="Times New Roman"/>
          <w:b w:val="0"/>
          <w:i w:val="0"/>
          <w:sz w:val="24"/>
        </w:rPr>
        <w:t>Full bootstrap diagnostics and power calculations are reported in Supplementary Table 6.</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lever are reported in Supplementary Table 7; Figure 4 summarises the same information as marginal percentage changes. Litigation reduction is therefore not a high-leverage instrument for workforce allocation in this setting.</w:t>
      </w:r>
    </w:p>
    <w:p>
      <w:pPr>
        <w:jc w:val="center"/>
      </w:pPr>
      <w:r>
        <w:rPr>
          <w:rFonts w:ascii="Times New Roman" w:hAnsi="Times New Roman"/>
          <w:i/>
          <w:sz w:val="20"/>
        </w:rPr>
        <w:t>Figure 4 about here</w:t>
      </w:r>
    </w:p>
    <w:p>
      <w:pPr>
        <w:pStyle w:val="Heading2"/>
      </w:pPr>
      <w:r>
        <w:rPr>
          <w:rFonts w:ascii="Times New Roman" w:hAnsi="Times New Roman"/>
          <w:color w:val="000000"/>
        </w:rPr>
        <w:t>Training-system context</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38.8% of physicians in the third to fifth year after medical registration in 2014,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specialization decision in Japan; Supplementary Table 8 reports the counts by specialty.</w:t>
      </w:r>
    </w:p>
    <w:p>
      <w:pPr>
        <w:pStyle w:val="Heading2"/>
      </w:pPr>
      <w:r>
        <w:rPr>
          <w:rFonts w:ascii="Times New Roman" w:hAnsi="Times New Roman"/>
          <w:color w:val="000000"/>
        </w:rPr>
        <w:t>Heterogeneity and trend robustness</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growth the main coefficient was -0.0001 (p=0.99) and the interaction was +0.0004 (p=0.93). For the surgical-specialty interaction the physician main effect was -0.0045 (p=0.24) and the interaction was +0.0057 (p=0.39); for hospital growth the main effect was +0.0044 (p=0.12) and the interaction was -0.0066 (p=0.06). Allowing specialty-specific linear trends also left the litigation coefficient small and non-significant for physician growth (+0.0010; p=0.73) and hospital growth (+0.0027; p=0.11). None of the interactions or trend-robustness checks suggest that a negative litigation effect is hiding in a clinically exposed subgroup (Supplementary Table 9).</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an important distinction: a widely discussed risk can be highly available and emotionally salient without being a reliable policy lever.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robustness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 (Tversky and Kahneman, 1973; Kahneman and Tversky, 1979) Yet the actual decision to leave a specialty is governed by expected income, sunk training costs, switching costs and status-quo bias, all of which discourage exit even when perceived risk is high. (Samuelson and Zeckhauser, 1988) The gap between reported anxiety and measured supply is therefore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behavioural public policy, the lesson is that changing the perceived risk alone is unlikely to alter aggregate workforce allocation when the underlying choice architecture preserves strong structural incentives to remain. Status-quo bias and loss aversion now work in the opposite direction: once a physician has incurred the sunk cost of specialty training, leaving feels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levers.</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What do these findings imply for behavioural public policy? Reducing civil malpractice litigation is unlikely to be a powerful lever for correcting specialty maldistribution in this national setting. The 10-year counterfactual simulation showed that eliminating all litigation would add only 1.1% to the projected national physician stock under the point estimate, and even 5.2% under the most favourable 95% lower-bound coefficient, before accounting for the implausibility of zero claims.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For behavioural public policy, the key insight is that the choice architecture of specialist training and reimbursement can override salient risk perceptions, so interventions should redesign defaults rather than merely amplify risk information. This aligns with the behavioural finding that default options and loss-framed financial incentives shape long-run career decisions more than rare adverse events.</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 (Bismark and Paterson, 2006) Sweden and Denmark operate similar administrative systems in which neutral experts evaluate claims without requiring proof of provider fault, improving injured patients' access to redress while controlling liability costs and generating patient-safety learning. (Mello, Kachalia and Studdert, 2011)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Understanding why litigation risk does not shape specialty supply requires moving from individual risk perception to the institutional architecture of career choice. In Japan, medical graduates do not freely select a specialty in response to annual lawsuit probabilities; they enter a residency training system that channels them into one of the primary specialties and then into subspecialty programmes. Once on that path, the costs of switching are large: foregone fellowship income, loss of seniority, and disruption of professional identity. These features generate powerful status-quo bias. Samuelson and Zeckhauser showed that decision makers disproportionately stick with the status quo when alternatives are risky and when switching is costly, even when the status quo is not objectively superior. (Samuelson and Zeckhauser, 1988) In specialist medicine, the status quo is also the income-maximising option for high-acuity procedural work, because fee-for-service reimbursement rewards the very activities that carry litigation exposure. The result is that risk perception may influence the intensive margin of behaviour—how physicians practise—without changing the extensive margin of whether they remain in the specialty. This is consistent with the broader behavioural finding that loss aversion and status-quo bias can dominate small-probability risks when the alternative to the current path is seen as a sure loss. (Kahneman and Tversky, 1979)</w:t>
      </w:r>
    </w:p>
    <w:p>
      <w:pPr>
        <w:spacing w:line="480" w:lineRule="auto" w:after="120"/>
      </w:pPr>
      <w:r>
        <w:rPr>
          <w:rFonts w:ascii="Times New Roman" w:hAnsi="Times New Roman"/>
          <w:b w:val="0"/>
          <w:i w:val="0"/>
          <w:sz w:val="24"/>
        </w:rPr>
        <w:t>A choice-architecture framing makes this logic more concrete. The Japanese training system is not a neutral menu of options: residency placement, examination schedules, and seniority-based promotion create a default path that most trainees follow. Default effects are among the most robust findings in behavioural science: when one option is made salient and easy, uptake rises even if alternatives are objectively superior. In specialist medicine, the default is to remain in the specialty where training investment has already been made, and the reference point is the income and professional identity associated with that specialty. No-fault compensation and payment design do not change the headline probability of a lawsuit; they change the financial and career consequences attached to the risk, which is what matters for a loss-averse trainee deciding whether to leave the default path. Training subsidies and loan forgiveness can alter the default at the entry margin by lowering the cost of entering high-risk fields before sunk costs accumulate. These interventions are therefore not simply neoclassical incentives; they are choice-architecture tools that shift the reference point and make the socially desirable specialty the easier default.</w:t>
      </w:r>
    </w:p>
    <w:p>
      <w:pPr>
        <w:spacing w:line="480" w:lineRule="auto" w:after="120"/>
      </w:pPr>
      <w:r>
        <w:rPr>
          <w:rFonts w:ascii="Times New Roman" w:hAnsi="Times New Roman"/>
          <w:b w:val="0"/>
          <w:i w:val="0"/>
          <w:sz w:val="24"/>
        </w:rPr>
        <w:t>For policymakers, the lesson is that litigation-avoidance campaigns are a weak instrument compared with redesigning the choice architecture that physicians face. Defaults can be shifted in several ways. No-fault compensation schemes remove the adversarial framing of patient injury and reduce the tail risk of large damages, thereby altering the perceived loss distribution without changing the legal standard of care. New Zealand and the Nordic countries have long used administrative compensation to separate redress from blame, and Japan's JOCS-CP extends this logic to obstetric cerebral palsy. (Bismark and Paterson, 2006; Mello, Kachalia and Studdert, 2011; Hasegawa et al., 2016) Payment design is a second lever: relative values for rural or high-acuity services can raise the expected income of unpopular specialties, offsetting any perceived litigation penalty. Training subsidies, loan forgiveness, and guaranteed fellowship positions can lower the entry cost into high-risk fields and create a new default for entrants. These interventions operate on the payoff structure and opportunity costs that actually determine long-run supply. By contrast, simply publicising that malpractice claims are rare is unlikely to override the availability heuristic that makes vivid cases salient, or the status-quo bias that keeps established specialists in place. Behavioural public policy is therefore better served by structural redesign than by risk communication alone. (Lin et al., 2022)</w:t>
      </w:r>
    </w:p>
    <w:p>
      <w:pPr>
        <w:spacing w:line="480" w:lineRule="auto" w:after="120"/>
      </w:pPr>
      <w:r>
        <w:rPr>
          <w:rFonts w:ascii="Times New Roman" w:hAnsi="Times New Roman"/>
          <w:b w:val="0"/>
          <w:i w:val="0"/>
          <w:sz w:val="24"/>
        </w:rPr>
        <w:t>This framing also explains why information campaigns that publicise the rarity of malpractice claims are unlikely to alter aggregate supply. The availability heuristic means that vivid, recent cases dominate decision weights regardless of their frequency, so a national trend line does not remove salient exemplars from memory or media coverage. If anything, repeated reminders that claims are 'rare' can keep the issue accessible. By contrast, no-fault compensation removes the adversarial courtroom as a possible future scene, payment design changes the income reference point, and training subsidies change the entry default. Our empirical results situate this behavioural prediction in administrative data: the aggregate workforce does not respond to the litigation rate, consistent with the view that structural defaults and loss aversion dominate rare-event risk perception.</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The 12 specialties correspond to the primary-specialty tier of Japan's two-tiered specialist training programme; the analysis therefore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lever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levers. More generally, the results caution against treating highly salient risks as reliable policy levers when the underlying choice architecture preserves strong structural incentives. Behavioural public policy is most effective when it redesigns the decision context rather than attempting to counteract it through information alone.</w:t>
      </w:r>
    </w:p>
    <w:p>
      <w:pPr>
        <w:pStyle w:val="Heading1"/>
      </w:pPr>
      <w:r>
        <w:rPr>
          <w:rFonts w:ascii="Times New Roman" w:hAnsi="Times New Roman"/>
          <w:color w:val="000000"/>
        </w:rPr>
        <w:t>References</w:t>
      </w:r>
    </w:p>
    <w:p>
      <w:pPr>
        <w:spacing w:line="360" w:lineRule="auto"/>
      </w:pPr>
      <w:r>
        <w:rPr>
          <w:rFonts w:ascii="Times New Roman" w:hAnsi="Times New Roman"/>
          <w:sz w:val="20"/>
        </w:rPr>
        <w:t>Angrist, J.D. and Pischke, J.S. (2009), Mostly Harmless Econometrics. Princeton University Press, Princeton.</w:t>
      </w:r>
    </w:p>
    <w:p>
      <w:pPr>
        <w:spacing w:line="360" w:lineRule="auto"/>
      </w:pPr>
      <w:r>
        <w:rPr>
          <w:rFonts w:ascii="Times New Roman" w:hAnsi="Times New Roman"/>
          <w:sz w:val="20"/>
        </w:rPr>
        <w:t>Bismark, M. and Paterson, R. (2006), No-fault compensation in New Zealand: harmonizing injury compensation, provider accountability, and patient safety. Health Aff. 25 (1), 278-286.</w:t>
      </w:r>
    </w:p>
    <w:p>
      <w:pPr>
        <w:spacing w:line="360" w:lineRule="auto"/>
      </w:pPr>
      <w:r>
        <w:rPr>
          <w:rFonts w:ascii="Times New Roman" w:hAnsi="Times New Roman"/>
          <w:sz w:val="20"/>
        </w:rPr>
        <w:t>Cameron, A.C. and Miller, D.L. (2015), A practitioner's guide to cluster-robust inference. J Hum Resour. 50 (2), 317-372.</w:t>
      </w:r>
    </w:p>
    <w:p>
      <w:pPr>
        <w:spacing w:line="360" w:lineRule="auto"/>
      </w:pPr>
      <w:r>
        <w:rPr>
          <w:rFonts w:ascii="Times New Roman" w:hAnsi="Times New Roman"/>
          <w:sz w:val="20"/>
        </w:rPr>
        <w:t>Frakes, M.D., Frank, M.B. and Seabury, S.A. (2020), The effect of malpractice law on physician supply: Evidence from negligence-standard reforms. J Health Econ. 70, 1-16.</w:t>
      </w:r>
    </w:p>
    <w:p>
      <w:pPr>
        <w:spacing w:line="360" w:lineRule="auto"/>
      </w:pPr>
      <w:r>
        <w:rPr>
          <w:rFonts w:ascii="Times New Roman" w:hAnsi="Times New Roman"/>
          <w:sz w:val="20"/>
        </w:rPr>
        <w:t>Hasegawa, J., Toyokawa, S., Ikenoue, T., et al. (2016), Relevant obstetric factors for cerebral palsy: from the Nationwide Obstetric Compensation System in Japan. PLoS One. 11 (1), e0148122.</w:t>
      </w:r>
    </w:p>
    <w:p>
      <w:pPr>
        <w:spacing w:line="360" w:lineRule="auto"/>
      </w:pPr>
      <w:r>
        <w:rPr>
          <w:rFonts w:ascii="Times New Roman" w:hAnsi="Times New Roman"/>
          <w:sz w:val="20"/>
        </w:rPr>
        <w:t>Helland, E. and Seabury, S.A. (2015), Tort reform and physician labor supply: a review of the evidence. Int Rev Law Econ. 42, 192-202.</w:t>
      </w:r>
    </w:p>
    <w:p>
      <w:pPr>
        <w:spacing w:line="360" w:lineRule="auto"/>
      </w:pPr>
      <w:r>
        <w:rPr>
          <w:rFonts w:ascii="Times New Roman" w:hAnsi="Times New Roman"/>
          <w:sz w:val="20"/>
        </w:rPr>
        <w:t>Hiyama, T., Yoshihara, M., Tanaka, S., et al. (2006), Defensive medicine practices among gastroenterologists in Japan. World J Gastroenterol. 12 (47), 7671-7675. doi:10.3748/wjg.v12.i47.7671.</w:t>
      </w:r>
    </w:p>
    <w:p>
      <w:pPr>
        <w:spacing w:line="360" w:lineRule="auto"/>
      </w:pPr>
      <w:r>
        <w:rPr>
          <w:rFonts w:ascii="Times New Roman" w:hAnsi="Times New Roman"/>
          <w:sz w:val="20"/>
        </w:rPr>
        <w:t>Hyman, D.A., Silver, C., Black, B. and Paik, M. (2015), Does tort reform affect physician supply? Evidence from Texas. Int Rev Law Econ. 42, 203-218.</w:t>
      </w:r>
    </w:p>
    <w:p>
      <w:pPr>
        <w:spacing w:line="360" w:lineRule="auto"/>
      </w:pPr>
      <w:r>
        <w:rPr>
          <w:rFonts w:ascii="Times New Roman" w:hAnsi="Times New Roman"/>
          <w:sz w:val="20"/>
        </w:rPr>
        <w:t>Japan Council for Quality Health Care (2009), Japan Obstetric Compensation System for Cerebral Palsy. Japan Council for Quality Health Care, Tokyo.</w:t>
      </w:r>
    </w:p>
    <w:p>
      <w:pPr>
        <w:spacing w:line="360" w:lineRule="auto"/>
      </w:pPr>
      <w:r>
        <w:rPr>
          <w:rFonts w:ascii="Times New Roman" w:hAnsi="Times New Roman"/>
          <w:sz w:val="20"/>
        </w:rPr>
        <w:t>Japan Medical Safety Research Organisation (2025), Annual reports of medical accident investigations (2015-2024). JMSR, Tokyo.</w:t>
      </w:r>
    </w:p>
    <w:p>
      <w:pPr>
        <w:spacing w:line="360" w:lineRule="auto"/>
      </w:pPr>
      <w:r>
        <w:rPr>
          <w:rFonts w:ascii="Times New Roman" w:hAnsi="Times New Roman"/>
          <w:sz w:val="20"/>
        </w:rPr>
        <w:t>Kahneman, D. and Tversky, A. (1979), Prospect theory: an analysis of decision under risk. Econometrica. 47 (2), 263-291.</w:t>
      </w:r>
    </w:p>
    <w:p>
      <w:pPr>
        <w:spacing w:line="360" w:lineRule="auto"/>
      </w:pPr>
      <w:r>
        <w:rPr>
          <w:rFonts w:ascii="Times New Roman" w:hAnsi="Times New Roman"/>
          <w:sz w:val="20"/>
        </w:rPr>
        <w:t>Kamijo, K., Wada, Y., Ishida, K., Warsof, S.L., Saade, G. and Kawakita, T. (2025), Medical-legal claims in obstetrics and gynecology: Japan versus the United States. J Healthc Risk Manag. 44 (4), 5-11. doi:10.1002/jhrm.70001.</w:t>
      </w:r>
    </w:p>
    <w:p>
      <w:pPr>
        <w:spacing w:line="360" w:lineRule="auto"/>
      </w:pPr>
      <w:r>
        <w:rPr>
          <w:rFonts w:ascii="Times New Roman" w:hAnsi="Times New Roman"/>
          <w:sz w:val="20"/>
        </w:rPr>
        <w:t>Kessler, D.P. and McClellan, M.B. (1996), Do doctors practice defensive medicine? Q J Econ. 111 (2), 353-390.</w:t>
      </w:r>
    </w:p>
    <w:p>
      <w:pPr>
        <w:spacing w:line="360" w:lineRule="auto"/>
      </w:pPr>
      <w:r>
        <w:rPr>
          <w:rFonts w:ascii="Times New Roman" w:hAnsi="Times New Roman"/>
          <w:sz w:val="20"/>
        </w:rPr>
        <w:t>Lakens, D. (2017), Equivalence tests: a practical primer for t tests, correlations, and meta-analyses. Soc Psychol Personal Sci. 8 (4), 355-362.</w:t>
      </w:r>
    </w:p>
    <w:p>
      <w:pPr>
        <w:spacing w:line="360" w:lineRule="auto"/>
      </w:pPr>
      <w:r>
        <w:rPr>
          <w:rFonts w:ascii="Times New Roman" w:hAnsi="Times New Roman"/>
          <w:sz w:val="20"/>
        </w:rPr>
        <w:t>Lin, P.L., Huang, J.P., Fujii, T., Cho, E.H. and Huang, M.C. (2022), A survey of specialty choice among obstetrics and gynecology residents in Japan, Korea, and Taiwan. J Obstet Gynaecol Res. 48 (7), 1968-1977.</w:t>
      </w:r>
    </w:p>
    <w:p>
      <w:pPr>
        <w:spacing w:line="360" w:lineRule="auto"/>
      </w:pPr>
      <w:r>
        <w:rPr>
          <w:rFonts w:ascii="Times New Roman" w:hAnsi="Times New Roman"/>
          <w:sz w:val="20"/>
        </w:rPr>
        <w:t>Matsa, D.A. (2007), Does malpractice liability keep the doctor away? Evidence from tort reform damage caps. J Legal Stud. 36 (S2), S143-S182.</w:t>
      </w:r>
    </w:p>
    <w:p>
      <w:pPr>
        <w:spacing w:line="360" w:lineRule="auto"/>
      </w:pPr>
      <w:r>
        <w:rPr>
          <w:rFonts w:ascii="Times New Roman" w:hAnsi="Times New Roman"/>
          <w:sz w:val="20"/>
        </w:rPr>
        <w:t>Matsumoto, M., Inoue, K., Bowman, R. and Kajii, E. (2010), Self-employment, specialty choice, and geographical distribution of physicians in Japan: a comparison with the United States. Health Policy. 96 (3), 239-244. doi:10.1016/j.healthpol.2010.02.008.</w:t>
      </w:r>
    </w:p>
    <w:p>
      <w:pPr>
        <w:spacing w:line="360" w:lineRule="auto"/>
      </w:pPr>
      <w:r>
        <w:rPr>
          <w:rFonts w:ascii="Times New Roman" w:hAnsi="Times New Roman"/>
          <w:sz w:val="20"/>
        </w:rPr>
        <w:t>Medical Accident Investigation System (2015), Act on the Promotion of Medical Safety. Ministry of Health, Labour and Welfare, Tokyo.</w:t>
      </w:r>
    </w:p>
    <w:p>
      <w:pPr>
        <w:spacing w:line="360" w:lineRule="auto"/>
      </w:pPr>
      <w:r>
        <w:rPr>
          <w:rFonts w:ascii="Times New Roman" w:hAnsi="Times New Roman"/>
          <w:sz w:val="20"/>
        </w:rPr>
        <w:t>Mello, M.M., Kachalia, A. and Studdert, D.M. (2011), Administrative compensation for medical injuries: lessons from three foreign systems. The Commonwealth Fund, New York.</w:t>
      </w:r>
    </w:p>
    <w:p>
      <w:pPr>
        <w:spacing w:line="360" w:lineRule="auto"/>
      </w:pPr>
      <w:r>
        <w:rPr>
          <w:rFonts w:ascii="Times New Roman" w:hAnsi="Times New Roman"/>
          <w:sz w:val="20"/>
        </w:rPr>
        <w:t>Ministry of Health, Labour and Welfare (2015), 医籍登録後３～５年目の医師数（主たる診療科別）. MHLW, Tokyo. (Accessed 15 August 2026). Available at: https://www.mhlw.go.jp/file/06-Seisakujouhou-10800000-Iseikyoku/323.pdf.</w:t>
      </w:r>
    </w:p>
    <w:p>
      <w:pPr>
        <w:spacing w:line="360" w:lineRule="auto"/>
      </w:pPr>
      <w:r>
        <w:rPr>
          <w:rFonts w:ascii="Times New Roman" w:hAnsi="Times New Roman"/>
          <w:sz w:val="20"/>
        </w:rPr>
        <w:t>Ministry of Health, Labour and Welfare (2018), 新専門医制度における専攻医の採用状況等について（平成30年度新専門医制度スタートに向けて）. MHLW, Tokyo. (Accessed 15 August 2026). Available at: https://www.mhlw.go.jp/content/10803000/000452411.pdf.</w:t>
      </w:r>
    </w:p>
    <w:p>
      <w:pPr>
        <w:spacing w:line="360" w:lineRule="auto"/>
      </w:pPr>
      <w:r>
        <w:rPr>
          <w:rFonts w:ascii="Times New Roman" w:hAnsi="Times New Roman"/>
          <w:sz w:val="20"/>
        </w:rPr>
        <w:t>Ministry of Health, Labour and Welfare (2024a), Statistics of Physicians, Dentists and Pharmacists. MHLW, Tokyo. (Accessed 11 August 2026). Available at: https://www.mhlw.go.jp/toukei/list/33-20b.html.</w:t>
      </w:r>
    </w:p>
    <w:p>
      <w:pPr>
        <w:spacing w:line="360" w:lineRule="auto"/>
      </w:pPr>
      <w:r>
        <w:rPr>
          <w:rFonts w:ascii="Times New Roman" w:hAnsi="Times New Roman"/>
          <w:sz w:val="20"/>
        </w:rPr>
        <w:t>Ministry of Health, Labour and Welfare (2024b), Survey of Medical Institutions (Dynamic). MHLW, Tokyo. (Accessed 11 August 2026). Available at: https://www.mhlw.go.jp/toukei/list/79-1a.html.</w:t>
      </w:r>
    </w:p>
    <w:p>
      <w:pPr>
        <w:spacing w:line="360" w:lineRule="auto"/>
      </w:pPr>
      <w:r>
        <w:rPr>
          <w:rFonts w:ascii="Times New Roman" w:hAnsi="Times New Roman"/>
          <w:sz w:val="20"/>
        </w:rPr>
        <w:t>Morita, H. (2018), Criminal prosecution and physician supply. Int Rev Law Econ. 55, 1-11.</w:t>
      </w:r>
    </w:p>
    <w:p>
      <w:pPr>
        <w:spacing w:line="360" w:lineRule="auto"/>
      </w:pPr>
      <w:r>
        <w:rPr>
          <w:rFonts w:ascii="Times New Roman" w:hAnsi="Times New Roman"/>
          <w:sz w:val="20"/>
        </w:rPr>
        <w:t>Nikkei Inc (2024), Nikkei Telecom 21. Nikkei Inc, Tokyo. Available at: https://telecom.nikkei.co.jp/ (Accessed 2024).</w:t>
      </w:r>
    </w:p>
    <w:p>
      <w:pPr>
        <w:spacing w:line="360" w:lineRule="auto"/>
      </w:pPr>
      <w:r>
        <w:rPr>
          <w:rFonts w:ascii="Times New Roman" w:hAnsi="Times New Roman"/>
          <w:sz w:val="20"/>
        </w:rPr>
        <w:t>Samuelson, W. and Zeckhauser, R. (1988), Status quo bias in decision making. J Risk Uncertain. 1 (1), 7-59.</w:t>
      </w:r>
    </w:p>
    <w:p>
      <w:pPr>
        <w:spacing w:line="360" w:lineRule="auto"/>
      </w:pPr>
      <w:r>
        <w:rPr>
          <w:rFonts w:ascii="Times New Roman" w:hAnsi="Times New Roman"/>
          <w:sz w:val="20"/>
        </w:rPr>
        <w:t>Schuirmann, D.J. (1987), A comparison of the two one-sided tests procedure and the power approach for assessing the equivalence of average bioavailability. J Pharmacokinet Biopharm. 15 (6), 657-680.</w:t>
      </w:r>
    </w:p>
    <w:p>
      <w:pPr>
        <w:spacing w:line="360" w:lineRule="auto"/>
      </w:pPr>
      <w:r>
        <w:rPr>
          <w:rFonts w:ascii="Times New Roman" w:hAnsi="Times New Roman"/>
          <w:sz w:val="20"/>
        </w:rPr>
        <w:t>Sloan, F.A. and Shadle, J.H. (2008), Is there empirical evidence for "Defensive Medicine"? A reassessment. J Health Econ. 27 (2), 481-491.</w:t>
      </w:r>
    </w:p>
    <w:p>
      <w:pPr>
        <w:spacing w:line="360" w:lineRule="auto"/>
      </w:pPr>
      <w:r>
        <w:rPr>
          <w:rFonts w:ascii="Times New Roman" w:hAnsi="Times New Roman"/>
          <w:sz w:val="20"/>
        </w:rPr>
        <w:t>Studdert, D.M., Mello, M.M. and Brennan, T.A. (2004), Medical malpractice. N Engl J Med. 350 (3), 283-292.</w:t>
      </w:r>
    </w:p>
    <w:p>
      <w:pPr>
        <w:spacing w:line="360" w:lineRule="auto"/>
      </w:pPr>
      <w:r>
        <w:rPr>
          <w:rFonts w:ascii="Times New Roman" w:hAnsi="Times New Roman"/>
          <w:sz w:val="20"/>
        </w:rPr>
        <w:t>Supreme Court of Japan, Committee on Medical Litigation (2024), Statistics on medical malpractice litigation (closed cases by specialty). Supreme Court of Japan, Tokyo. (Accessed 11 August 2026). Available at: https://www.courts.go.jp/.</w:t>
      </w:r>
    </w:p>
    <w:p>
      <w:pPr>
        <w:spacing w:line="360" w:lineRule="auto"/>
      </w:pPr>
      <w:r>
        <w:rPr>
          <w:rFonts w:ascii="Times New Roman" w:hAnsi="Times New Roman"/>
          <w:sz w:val="20"/>
        </w:rPr>
        <w:t>Taniguchi, K., Watari, T. and Nagoshi, K. (2023), Characteristics and trends of medical malpractice claims in Japan between 2006 and 2021. PLoS One. 18 (12), e0296155.</w:t>
      </w:r>
    </w:p>
    <w:p>
      <w:pPr>
        <w:spacing w:line="360" w:lineRule="auto"/>
      </w:pPr>
      <w:r>
        <w:rPr>
          <w:rFonts w:ascii="Times New Roman" w:hAnsi="Times New Roman"/>
          <w:sz w:val="20"/>
        </w:rPr>
        <w:t>Tversky, A. and Kahneman, D. (1973), Availability: a heuristic for judging frequency and probability. Cogn Psychol. 5 (2), 207-232.</w:t>
      </w:r>
    </w:p>
    <w:p>
      <w:pPr>
        <w:spacing w:line="360" w:lineRule="auto"/>
      </w:pPr>
      <w:r>
        <w:rPr>
          <w:rFonts w:ascii="Times New Roman" w:hAnsi="Times New Roman"/>
          <w:sz w:val="20"/>
        </w:rPr>
        <w:t>von Elm, E., Altman, D.G., Egger, M., et al. (2007), The STROBE statement. Lancet. 370 (9596), 1453-1457.</w:t>
      </w:r>
    </w:p>
    <w:p>
      <w:r>
        <w:br w:type="page"/>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r>
        <w:br w:type="page"/>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r>
        <w:br w:type="page"/>
      </w:r>
    </w:p>
    <w:p>
      <w:pPr>
        <w:spacing w:before="280" w:after="120"/>
      </w:pPr>
      <w:r>
        <w:rPr>
          <w:rFonts w:ascii="Times New Roman" w:hAnsi="Times New Roman"/>
          <w:b/>
          <w:sz w:val="20"/>
        </w:rPr>
        <w:t>Figure 3. Biennial hospital growth against lagged litigation exposure measured as (a) counts and (b) rates. Points are coloured by specialty; the rate-adjusted panel shows no systematic association.</w:t>
      </w:r>
    </w:p>
    <w:p>
      <w:pPr>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
      <w:r>
        <w:br w:type="page"/>
      </w:r>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Pr>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ha_Figure_4.png"/>
                    <pic:cNvPicPr/>
                  </pic:nvPicPr>
                  <pic:blipFill>
                    <a:blip r:embed="rId12"/>
                    <a:stretch>
                      <a:fillRect/>
                    </a:stretch>
                  </pic:blipFill>
                  <pic:spPr>
                    <a:xfrm>
                      <a:off x="0" y="0"/>
                      <a:ext cx="5303520" cy="2410691"/>
                    </a:xfrm>
                    <a:prstGeom prst="rect"/>
                  </pic:spPr>
                </pic:pic>
              </a:graphicData>
            </a:graphic>
          </wp:inline>
        </w:drawing>
      </w:r>
    </w:p>
    <w:p/>
    <w:p>
      <w:r>
        <w:br w:type="page"/>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r>
        <w:br w:type="page"/>
      </w:r>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to the editor on request.</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