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360"/>
        <w:jc w:val="center"/>
      </w:pPr>
      <w:r>
        <w:rPr>
          <w:rFonts w:ascii="Times New Roman" w:hAnsi="Times New Roman"/>
          <w:b/>
          <w:sz w:val="30"/>
        </w:rPr>
        <w:t>Litigation risk and physician specialty supply: a Japanese test of behavioural risk perception</w:t>
      </w:r>
    </w:p>
    <w:p>
      <w:pPr>
        <w:jc w:val="center"/>
      </w:pPr>
      <w:r>
        <w:rPr>
          <w:rFonts w:ascii="Times New Roman" w:hAnsi="Times New Roman"/>
          <w:sz w:val="24"/>
        </w:rPr>
        <w:t>Authors: Onishi Tatsuki</w:t>
      </w:r>
    </w:p>
    <w:p>
      <w:pPr>
        <w:jc w:val="center"/>
      </w:pPr>
      <w:r>
        <w:rPr>
          <w:rFonts w:ascii="Times New Roman" w:hAnsi="Times New Roman"/>
          <w:sz w:val="24"/>
        </w:rPr>
        <w:t>Affiliation: Data Science AI Innovation Research Promotion Center, Shiga University, 1-1-1 Bamba, Hikone, Shiga 522-8522, Japan</w:t>
      </w:r>
    </w:p>
    <w:p>
      <w:pPr>
        <w:jc w:val="center"/>
      </w:pPr>
      <w:r>
        <w:rPr>
          <w:rFonts w:ascii="Times New Roman" w:hAnsi="Times New Roman"/>
          <w:sz w:val="24"/>
        </w:rPr>
        <w:t>Corresponding author: Onishi Tatsuki</w:t>
      </w:r>
    </w:p>
    <w:p>
      <w:pPr>
        <w:jc w:val="center"/>
      </w:pPr>
      <w:r>
        <w:rPr>
          <w:rFonts w:ascii="Times New Roman" w:hAnsi="Times New Roman"/>
          <w:sz w:val="24"/>
        </w:rPr>
        <w:t>ORCID: [corresponding author ORCID]    Email: [corresponding author email]</w:t>
      </w:r>
    </w:p>
    <w:p>
      <w:pPr>
        <w:jc w:val="center"/>
      </w:pPr>
      <w:r>
        <w:rPr>
          <w:rFonts w:ascii="Times New Roman" w:hAnsi="Times New Roman"/>
          <w:sz w:val="24"/>
        </w:rPr>
        <w:t>Word count: approximately 6856 words in total, including abstract and references; main text excluding abstract and references is approximately 5471 words</w:t>
      </w:r>
    </w:p>
    <w:p>
      <w:pPr>
        <w:jc w:val="center"/>
      </w:pPr>
      <w:r>
        <w:rPr>
          <w:rFonts w:ascii="Times New Roman" w:hAnsi="Times New Roman"/>
          <w:sz w:val="24"/>
        </w:rPr>
        <w:t>Article type: Original research article</w:t>
      </w:r>
    </w:p>
    <w:p>
      <w:pPr>
        <w:jc w:val="center"/>
      </w:pPr>
      <w:r>
        <w:rPr>
          <w:rFonts w:ascii="Times New Roman" w:hAnsi="Times New Roman"/>
          <w:sz w:val="24"/>
        </w:rPr>
        <w:t>Target journal: Behavioural Public Policy (Cambridge Core)</w:t>
      </w:r>
    </w:p>
    <w:p>
      <w:pPr>
        <w:jc w:val="center"/>
      </w:pPr>
      <w:r>
        <w:rPr>
          <w:rFonts w:ascii="Times New Roman" w:hAnsi="Times New Roman"/>
          <w:sz w:val="24"/>
        </w:rPr>
        <w:t>Tables: 2  Figures: 4  Supplementary tables: 9  Supplementary figures: 3</w:t>
      </w:r>
    </w:p>
    <w:p>
      <w:pPr>
        <w:jc w:val="center"/>
      </w:pPr>
      <w:r>
        <w:rPr>
          <w:rFonts w:ascii="Times New Roman" w:hAnsi="Times New Roman"/>
          <w:sz w:val="24"/>
        </w:rPr>
        <w:t>Conflicts of interest: none declared</w:t>
      </w:r>
    </w:p>
    <w:p>
      <w:pPr>
        <w:jc w:val="center"/>
      </w:pPr>
      <w:r>
        <w:rPr>
          <w:rFonts w:ascii="Times New Roman" w:hAnsi="Times New Roman"/>
          <w:sz w:val="24"/>
        </w:rPr>
        <w:t>Funding: none</w:t>
      </w:r>
    </w:p>
    <w:p>
      <w:pPr>
        <w:jc w:val="center"/>
      </w:pPr>
      <w:r>
        <w:rPr>
          <w:rFonts w:ascii="Times New Roman" w:hAnsi="Times New Roman"/>
          <w:sz w:val="24"/>
        </w:rPr>
        <w:t>Data availability: all primary data and analysis code are openly available in the project repository ([repository URL to be inserted on acceptance]).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