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[Date]</w:t>
      </w:r>
    </w:p>
    <w:p/>
    <w:p>
      <w:r>
        <w:rPr>
          <w:rFonts w:ascii="Times New Roman" w:hAnsi="Times New Roman"/>
          <w:sz w:val="24"/>
        </w:rPr>
        <w:t>Prof. Dr. Madjid Tavana, PhD</w:t>
      </w:r>
    </w:p>
    <w:p>
      <w:r>
        <w:rPr>
          <w:rFonts w:ascii="Times New Roman" w:hAnsi="Times New Roman"/>
          <w:sz w:val="24"/>
        </w:rPr>
        <w:t>Editor-in-Chief</w:t>
      </w:r>
    </w:p>
    <w:p>
      <w:r>
        <w:rPr>
          <w:rFonts w:ascii="Times New Roman" w:hAnsi="Times New Roman"/>
          <w:sz w:val="24"/>
        </w:rPr>
        <w:t>Healthcare Analytics</w:t>
      </w:r>
    </w:p>
    <w:p/>
    <w:p>
      <w:r>
        <w:rPr>
          <w:rFonts w:ascii="Times New Roman" w:hAnsi="Times New Roman"/>
          <w:sz w:val="24"/>
        </w:rPr>
        <w:t>Dear Editor,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We submit an original research article, "Litigation risk and specialty-level physician workforce allocation in Japan, 2008–2024: a sensitivity-analysis framework with equivalence testing", for consideration by Healthcare Analytics.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Healthcare Analytics advances data-driven analytics for healthcare decisions. Our study treats specialty physician workforce planning as a healthcare resource-allocation problem and uses it as a test case for a transparent, reproducible sensitivity-analysis framework. The analytical contribution is diagnostic: we show how two common observational fallacies—size confounding and interpolation of sparse panel data—can be identified and removed when a proposed policy lever (malpractice-litigation risk) is evaluated against physician workforce outcomes.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Using national primary data for 12 clinical specialties in Japan, we measure exposure as a size-adjusted rate (closed malpractice claims per 1,000 physicians) and estimate panel fixed-effects models with equivalence (TOST) testing. The effect of litigation risk on physician and hospital growth is statistically equivalent to a null within policy-relevant margins. We show that count-based associations disappear once specialty-size confounding and interpolation are removed, and we discuss how structural incentives—notably no-fault obstetric compensation—may sustain the specialty workforce.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All data and code are openly available in the project repository (https://github.com/bougtoir/medical-accident-its-analysis) and every reported number is reproducible from the raw primary files.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work is original, not under consideration elsewhere, and all authors approve the submission. We declare no conflicts of interest.</w:t>
      </w:r>
    </w:p>
    <w:p>
      <w:r>
        <w:rPr>
          <w:rFonts w:ascii="Times New Roman" w:hAnsi="Times New Roman"/>
          <w:sz w:val="24"/>
        </w:rPr>
        <w:t>Sincerely,</w:t>
      </w:r>
    </w:p>
    <w:p/>
    <w:p>
      <w:r>
        <w:rPr>
          <w:rFonts w:ascii="Times New Roman" w:hAnsi="Times New Roman"/>
          <w:sz w:val="24"/>
        </w:rP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