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 in Japan, 2008–2024: a sensitivity-analysis framework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3453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