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r>
        <w:rPr>
          <w:b w:val="0"/>
          <w:i w:val="0"/>
          <w:sz w:val="24"/>
        </w:rPr>
        <w:t>[Date]</w:t>
      </w:r>
    </w:p>
    <w:p>
      <w:pPr>
        <w:spacing w:after="40"/>
      </w:pPr>
      <w:r>
        <w:rPr>
          <w:b/>
          <w:i w:val="0"/>
          <w:sz w:val="24"/>
        </w:rPr>
        <w:t>The Editors</w:t>
      </w:r>
    </w:p>
    <w:p>
      <w:pPr>
        <w:spacing w:after="40"/>
      </w:pPr>
      <w:r>
        <w:rPr>
          <w:b w:val="0"/>
          <w:i/>
          <w:sz w:val="24"/>
        </w:rPr>
        <w:t>Population Studies</w:t>
      </w:r>
    </w:p>
    <w:p>
      <w:pPr>
        <w:spacing w:after="40"/>
      </w:pPr>
      <w:r>
        <w:rPr>
          <w:b w:val="0"/>
          <w:i w:val="0"/>
          <w:sz w:val="24"/>
        </w:rPr>
        <w:t>Population Investigation Committee</w:t>
      </w:r>
    </w:p>
    <w:p>
      <w:pPr>
        <w:spacing w:after="360"/>
      </w:pPr>
      <w:r>
        <w:rPr>
          <w:b w:val="0"/>
          <w:i w:val="0"/>
          <w:sz w:val="24"/>
        </w:rPr>
        <w:t>London School of Economics and Political Science</w:t>
      </w:r>
    </w:p>
    <w:p>
      <w:pPr>
        <w:spacing w:after="240"/>
      </w:pPr>
      <w:r>
        <w:rPr>
          <w:b w:val="0"/>
          <w:i w:val="0"/>
          <w:sz w:val="24"/>
        </w:rPr>
        <w:t>Dear Editors,</w:t>
      </w:r>
    </w:p>
    <w:p>
      <w:pPr>
        <w:spacing w:after="240"/>
      </w:pPr>
      <w:r>
        <w:rPr>
          <w:b w:val="0"/>
          <w:i w:val="0"/>
          <w:sz w:val="24"/>
        </w:rPr>
        <w:t>We are pleased to submit our manuscript entitled “Quantifying the Tempo Effect on Simultaneously Living Population: Evidence from 40 Countries, 1970–2023” for consideration as a research article in Population Studies.</w:t>
      </w:r>
    </w:p>
    <w:p>
      <w:pPr>
        <w:spacing w:after="160"/>
      </w:pPr>
      <w:r>
        <w:rPr>
          <w:b w:val="0"/>
          <w:i w:val="0"/>
          <w:sz w:val="24"/>
        </w:rPr>
        <w:t>This paper provides the first systematic cross-national quantification of the tempo effect on simultaneously living population (SLP). While the theoretical link between birth timing and population size has been established—notably by Goldstein, Lutz, and Scherbov (2003) in this journal’s intellectual tradition—no study has measured this effect against observed population data across diverse demographic contexts. Using a parsimonious endogenous renewal model validated against UN WPP 2024 data for 40 countries over half a century, we make three contributions:</w:t>
      </w:r>
    </w:p>
    <w:p>
      <w:pPr>
        <w:spacing w:after="240"/>
      </w:pPr>
      <w:r>
        <w:rPr>
          <w:b w:val="0"/>
          <w:i w:val="0"/>
          <w:sz w:val="24"/>
        </w:rPr>
        <w:t>(1) We quantify the independent tempo effect on SLP through counterfactual analysis, finding that the observed 4–6 year rise in mean age at childbearing across OECD countries independently reduced SLP by 8–17%—equivalent to 15–40 years of below-replacement fertility.</w:t>
        <w:br/>
        <w:br/>
        <w:t>(2) We decompose population change into quantum, tempo, and survival components, showing that tempo is typically the second-largest contributor to population change in post-transitional countries.</w:t>
        <w:br/>
        <w:br/>
        <w:t>(3) We demonstrate that higher MAC accelerates the annual pace of population decline, compressing the time available for institutional adaptation.</w:t>
      </w:r>
    </w:p>
    <w:p>
      <w:pPr>
        <w:spacing w:after="240"/>
      </w:pPr>
      <w:r>
        <w:rPr>
          <w:b w:val="0"/>
          <w:i w:val="0"/>
          <w:sz w:val="24"/>
        </w:rPr>
        <w:t>We believe Population Studies is the ideal venue for this work. The journal’s long tradition of publishing foundational contributions on fertility tempo and formal demography—including the Bongaarts–Feeney framework and related work on demographic translation—means that the readership is uniquely positioned to evaluate and build upon our findings.</w:t>
      </w:r>
    </w:p>
    <w:p>
      <w:pPr>
        <w:spacing w:after="120"/>
      </w:pPr>
      <w:r>
        <w:rPr>
          <w:b/>
          <w:i w:val="0"/>
          <w:sz w:val="24"/>
        </w:rPr>
        <w:t>Prior submissions</w:t>
      </w:r>
    </w:p>
    <w:p>
      <w:pPr>
        <w:spacing w:after="120"/>
      </w:pPr>
      <w:r>
        <w:rPr>
          <w:b w:val="0"/>
          <w:i w:val="0"/>
          <w:sz w:val="24"/>
        </w:rPr>
        <w:t>In the interest of transparency, we disclose that earlier versions of this manuscript were submitted to and declined by three journals:</w:t>
      </w:r>
    </w:p>
    <w:p>
      <w:pPr>
        <w:spacing w:after="240"/>
      </w:pPr>
      <w:r>
        <w:rPr>
          <w:b w:val="0"/>
          <w:i w:val="0"/>
          <w:sz w:val="24"/>
        </w:rPr>
        <w:t>• The Lancet: Declined at pre-review (outside scope for a clinical journal).</w:t>
        <w:br/>
        <w:t>• Population and Development Review: Declined at pre-review.</w:t>
        <w:br/>
        <w:t>• Demographic Research: Declined at pre-review. The editor noted that while the manuscript was readable, the structure did not yet support the central claims, results were focused mainly on model fit, and the contribution appeared too limited for a full research article given that the core mechanism is already established.</w:t>
      </w:r>
    </w:p>
    <w:p>
      <w:pPr>
        <w:spacing w:after="240"/>
      </w:pPr>
      <w:r>
        <w:rPr>
          <w:b w:val="0"/>
          <w:i w:val="0"/>
          <w:sz w:val="24"/>
        </w:rPr>
        <w:t>We have substantially revised the manuscript in response to the Demographic Research feedback. The key changes are: (a) restructured from a model-validation paper to a substantive findings paper, with counterfactual tempo analysis and component decomposition as the main results; (b) added systematic quantification of the tempo effect through country-level counterfactuals; (c) added decomposition of population change into quantum, tempo, and survival components; (d) empirically grounded the pace-of-adaptation argument; and (e) repositioned the model validation as supporting evidence rather than the primary result.</w:t>
      </w:r>
    </w:p>
    <w:p>
      <w:pPr>
        <w:spacing w:after="240"/>
      </w:pPr>
      <w:r>
        <w:rPr>
          <w:b w:val="0"/>
          <w:i w:val="0"/>
          <w:sz w:val="24"/>
        </w:rPr>
        <w:t>The manuscript has not been published elsewhere and is not under consideration by any other journal. All authors have approved the manuscript and agree to its submission. The authors declare no conflicts of interest.</w:t>
      </w:r>
    </w:p>
    <w:p>
      <w:pPr>
        <w:spacing w:after="360"/>
      </w:pPr>
      <w:r>
        <w:rPr>
          <w:b w:val="0"/>
          <w:i w:val="0"/>
          <w:sz w:val="24"/>
        </w:rPr>
        <w:t>We look forward to your consideration.</w:t>
      </w:r>
    </w:p>
    <w:p>
      <w:pPr>
        <w:spacing w:after="120"/>
      </w:pPr>
      <w:r>
        <w:rPr>
          <w:b w:val="0"/>
          <w:i w:val="0"/>
          <w:sz w:val="24"/>
        </w:rPr>
        <w:t>Yours sincerely,</w:t>
      </w:r>
    </w:p>
    <w:p>
      <w:pPr>
        <w:spacing w:after="40"/>
      </w:pPr>
      <w:r>
        <w:rPr>
          <w:b w:val="0"/>
          <w:i w:val="0"/>
          <w:sz w:val="24"/>
        </w:rPr>
        <w:t>[Author name(s)]</w:t>
      </w:r>
    </w:p>
    <w:p>
      <w:pPr>
        <w:spacing w:after="40"/>
      </w:pPr>
      <w:r>
        <w:rPr>
          <w:b w:val="0"/>
          <w:i w:val="0"/>
          <w:sz w:val="24"/>
        </w:rPr>
        <w:t>[Institutional affiliation]</w:t>
      </w:r>
    </w:p>
    <w:p>
      <w:pPr>
        <w:spacing w:after="40"/>
      </w:pPr>
      <w:r>
        <w:rPr>
          <w:b w:val="0"/>
          <w:i w:val="0"/>
          <w:sz w:val="24"/>
        </w:rPr>
        <w:t>[Email address]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