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8,500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national population projection systems, and population policy designs. A bibliometric analysis of PubMed shows that while publications on ‘delayed childbearing’ grew fourfold since 1998, formal analysis of the ‘tempo effect’ on population size has essentially disappeared from the health and policy literature. We provide the first systematic cross-national quantification of the tempo effect on simultaneously living population (SLP). Using a parsimonious endogenous renewal model—coupling normal-distributed age-specific fertility with Gompertz survival—we analyse 40 countries (38 OECD members, China, DRC) over 1970–2023. The validated model (median MAPE 4.6% against UN WPP 2024) enables counterfactual decomposition of population change into quantum, tempo, and survival components. We find that the observed 4–6 year rise in mean age at childbearing (MAC) across OECD countries independently reduced SLP by 8–17%, equivalent to 15–40 years of below-replacement fertility. Higher MAC also accelerates the annual pace of population decline, compressing the time available for institutional adaptation. None of the 15 national projection systems we reviewed explicitly decomposes this tempo channel. These findings establish the quantitative case for incorporating birth timing into demographic assessment and policy.</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period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after="80"/>
      </w:pPr>
      <w:r>
        <w:rPr>
          <w:b/>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dynamic implication—that tempo affects not only the level but the pace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three contributions. First, we quantify the independent tempo effect on SLP by comparing observed trajectories with counterfactuals in which MAC is held constant. Second, we decompose population change into quantum, tempo, and survival components, establishing their relative magnitudes across diverse demographic contexts. Third,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dynamic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 (UN WPP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w:t>
      </w:r>
      <w:r>
        <w:rPr>
          <w:b w:val="0"/>
          <w:i w:val="0"/>
          <w:sz w:val="24"/>
          <w:vertAlign w:val="superscript"/>
        </w:rPr>
        <w:t>12</w:t>
      </w:r>
      <w:r>
        <w:rPr>
          <w:b w:val="0"/>
          <w:i w:val="0"/>
          <w:sz w:val="24"/>
        </w:rPr>
      </w:r>
    </w:p>
    <w:p>
      <w:pPr>
        <w:pStyle w:val="Heading2"/>
      </w:pPr>
      <w:r>
        <w:rPr>
          <w:color w:val="000000"/>
        </w:rPr>
        <w:t>3.3 Model variants and counterfactuals</w:t>
      </w:r>
    </w:p>
    <w:p>
      <w:pPr>
        <w:spacing w:after="160"/>
      </w:pPr>
      <w:r>
        <w:rPr>
          <w:b w:val="0"/>
          <w:i w:val="0"/>
          <w:sz w:val="24"/>
        </w:rPr>
        <w:t>We implement two model variants and three counterfactual scenarios:</w:t>
      </w:r>
    </w:p>
    <w:p>
      <w:pPr>
        <w:spacing w:after="160"/>
      </w:pPr>
      <w:r>
        <w:rPr>
          <w:b w:val="0"/>
          <w:i w:val="0"/>
          <w:sz w:val="24"/>
        </w:rPr>
        <w:t>Dynamic model: Parameters are updated every 10 years using observed UN values (e.g., 1970 parameters for 1970–1979, 1980 for 1980–1989, etc.), running from 1970 to 2023 for all 40 countries. This is our baseline for both validation and counterfactual analysis.</w:t>
      </w:r>
    </w:p>
    <w:p>
      <w:pPr>
        <w:spacing w:after="160"/>
      </w:pPr>
      <w:r>
        <w:rPr>
          <w:b w:val="0"/>
          <w:i w:val="0"/>
          <w:sz w:val="24"/>
        </w:rPr>
        <w:t>Static model: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dynamic model with one parameter held at its 1970 value while others evolve as observed: (i) MAC frozen at 1970 level (tempo counterfactual);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Model validation</w:t>
      </w:r>
    </w:p>
    <w:p>
      <w:pPr>
        <w:spacing w:after="120"/>
      </w:pPr>
      <w:r>
        <w:rPr>
          <w:b w:val="0"/>
          <w:i w:val="0"/>
          <w:sz w:val="24"/>
        </w:rPr>
        <w:t>Before using the model for counterfactual decomposition, we establish that it adequately reproduces observed population trajectories. Table 2 summarises model performance. The dynamic model achieves a median absolute percentage error (MAPE) of 4.6% (mean 6.7%) over a 53-year horizon, with a mean final population ratio of 0.999 (SD = 0.189)—indicating negligible systematic bias. Across the 40 countries, 30 achieve dynamic MAPE below 10%, 20 below 5%, and 6 below 2%.</w:t>
      </w:r>
    </w:p>
    <w:p>
      <w:pPr>
        <w:spacing w:after="80"/>
      </w:pPr>
      <w:r>
        <w:rPr>
          <w:b/>
          <w:i w:val="0"/>
          <w:sz w:val="22"/>
        </w:rPr>
        <w:t>Table 2: Model performance across 40 countries, by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spacing w:after="120"/>
      </w:pPr>
      <w:r>
        <w:rPr>
          <w:b w:val="0"/>
          <w:i w:val="0"/>
          <w:sz w:val="24"/>
        </w:rPr>
        <w:t>Countries with MAPE exceeding 10%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The dynamic model tracks observed trajectories closely for countries with moderate migration (France, Japan, Czechia) and captures the broad patterns even for high-migration countries (Australia), where the systematic undershoot measures the cumulative migration contribution.</w:t>
      </w:r>
    </w:p>
    <w:p>
      <w:pPr>
        <w:spacing w:before="360" w:after="80"/>
      </w:pPr>
      <w:r>
        <w:rPr>
          <w:b/>
          <w:sz w:val="22"/>
        </w:rPr>
        <w:t>Figure 1: Model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Dynamic model (blue dashed) updates parameters decadally; static model (red dotted) uses 1970 base-year parameters; black solid = UN WPP 2024 observed.</w:t>
      </w:r>
    </w:p>
    <w:p>
      <w:pPr>
        <w:spacing w:after="240"/>
      </w:pPr>
      <w:r>
        <w:rPr>
          <w:b w:val="0"/>
          <w:i w:val="0"/>
          <w:sz w:val="24"/>
        </w:rPr>
        <w:t>The validation confirms that a 4-parameter model captures the quantum–tempo–survival mechanism with sufficient fidelity to support counterfactual decomposition. We now turn to the substantive findings.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dynamic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13</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after="80"/>
      </w:pPr>
      <w:r>
        <w:rPr>
          <w:b/>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Dynamic model MAPE shown in upper-right corner of each panel.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dynamic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static model’s degradation over longer horizons reflects accumulating demographic change—the very phenomenon our decomposition quantifies.</w:t>
      </w:r>
    </w:p>
    <w:p>
      <w:pPr>
        <w:spacing w:before="360" w:after="80"/>
      </w:pPr>
      <w:r>
        <w:rPr>
          <w:b/>
          <w:sz w:val="22"/>
        </w:rPr>
        <w:t>Figure 3: Static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Static versus dynamic model comparison</w:t>
      </w:r>
    </w:p>
    <w:p>
      <w:pPr>
        <w:spacing w:after="40"/>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pPr>
      <w:r>
        <w:rPr>
          <w:i/>
          <w:sz w:val="18"/>
        </w:rPr>
        <w:t>Note: Left panel: MAPE by country. Right panel: final population ratio (model/observed in 2023). The dynamic model consistently outperforms the static variant, confirming the importance of parameter evolution over time.</w:t>
      </w:r>
    </w:p>
    <w:p>
      <w:pPr>
        <w:pStyle w:val="Heading1"/>
      </w:pPr>
      <w:r>
        <w:rPr>
          <w:color w:val="000000"/>
        </w:rPr>
        <w:t>5. Discussion</w:t>
      </w:r>
    </w:p>
    <w:p>
      <w:pPr>
        <w:spacing w:after="240"/>
      </w:pPr>
      <w:r>
        <w:rPr>
          <w:b w:val="0"/>
          <w:i w:val="0"/>
          <w:sz w:val="24"/>
        </w:rPr>
        <w:t>Our results provide three main findings with implications for demographic research and policy.</w:t>
      </w:r>
    </w:p>
    <w:p>
      <w:pPr>
        <w:spacing w:after="240"/>
      </w:pPr>
      <w:r>
        <w:rPr>
          <w:b w:val="0"/>
          <w:i w:val="0"/>
          <w:sz w:val="24"/>
        </w:rPr>
        <w:t>First, the tempo effect on simultaneously living population is quantitatively large. The observed 4–6 year increase in MAC across OECD countries reduced SLP by 8–17%, magnitudes comparable to decades of below-replacement fertility.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 The independence of the tempo effect from quantum—evidenced by its operation even in countries with growing populations (France, Sweden, USA)—confirms that birth timing is not merely a proxy for low fertility but a distinct demographic force.</w:t>
      </w:r>
    </w:p>
    <w:p>
      <w:pPr>
        <w:spacing w:after="240"/>
      </w:pPr>
      <w:r>
        <w:rPr>
          <w:b w:val="0"/>
          <w:i w:val="0"/>
          <w:sz w:val="24"/>
        </w:rPr>
        <w:t>Second, the decomposition reveals that tempo is typically the second-largest component of population change in post-transitional countries.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14</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Third, the pace dimension has direct policy implications. Higher MAC accelerates the annual rate of population decline, compressing the time available for institutional adaptation. This reframes the policy problem: the question is not only ‘how do we increase births?’ but also ‘how do we manage the speed of demographic transition?’ Tempo-sensitive interventions—affordable housing for young families, universal childcare, restructured educational pathways that do not penalise early parenthood</w:t>
      </w:r>
      <w:r>
        <w:rPr>
          <w:b w:val="0"/>
          <w:i w:val="0"/>
          <w:sz w:val="24"/>
          <w:vertAlign w:val="superscript"/>
        </w:rPr>
        <w:t>15</w:t>
      </w:r>
      <w:r>
        <w:rPr>
          <w:b w:val="0"/>
          <w:i w:val="0"/>
          <w:sz w:val="24"/>
        </w:rPr>
        <w:t>—could slow the pace of population decline and expand the window for institutional adjustment, even without raising TFR.</w:t>
      </w:r>
    </w:p>
    <w:p>
      <w:pPr>
        <w:spacing w:after="240"/>
      </w:pPr>
      <w:r>
        <w:rPr>
          <w:b w:val="0"/>
          <w:i w:val="0"/>
          <w:sz w:val="24"/>
        </w:rPr>
        <w:t>Bongaarts and Sobotka</w:t>
      </w:r>
      <w:r>
        <w:rPr>
          <w:b w:val="0"/>
          <w:i w:val="0"/>
          <w:sz w:val="24"/>
          <w:vertAlign w:val="superscript"/>
        </w:rPr>
        <w:t>16</w:t>
      </w:r>
      <w:r>
        <w:rPr>
          <w:b w:val="0"/>
          <w:i w:val="0"/>
          <w:sz w:val="24"/>
        </w:rPr>
        <w:t xml:space="preserve"> showed that some European countries had begun to reverse postponement trends, with period TFR recovering as tempo distortions subsided. Our framework suggests that even partial reversal of postponement has substantial population-level effects: a 2-year reduction in MAC from current levels would increase SLP by 5–7% in most OECD countries—a demographic dividend achievable without increasing the number of births per woman. Myrskylä, Kohler, and Billari</w:t>
      </w:r>
      <w:r>
        <w:rPr>
          <w:b w:val="0"/>
          <w:i w:val="0"/>
          <w:sz w:val="24"/>
          <w:vertAlign w:val="superscript"/>
        </w:rPr>
        <w:t>17</w:t>
      </w:r>
      <w:r>
        <w:rPr>
          <w:b w:val="0"/>
          <w:i w:val="0"/>
          <w:sz w:val="24"/>
        </w:rPr>
        <w:t xml:space="preserve"> demonstrated that advanced development can reverse fertility declines; our results complement this by showing that even where quantum remains low, tempo adjustments alter the population trajectory.</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ABS estimates. Our natural experiments analysis (Appendix A) demonstrates that Germany’s model misfit quantifies the demographic footprint of reunification as a migration shock.</w:t>
      </w:r>
    </w:p>
    <w:p>
      <w:pPr>
        <w:pStyle w:val="Heading2"/>
      </w:pPr>
      <w:r>
        <w:rPr>
          <w:color w:val="000000"/>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after="80"/>
      </w:pPr>
      <w:r>
        <w:rPr>
          <w:b/>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 (IPSS)</w:t>
            </w:r>
          </w:p>
        </w:tc>
        <w:tc>
          <w:tcPr>
            <w:tcW w:type="dxa" w:w="1872"/>
          </w:tcPr>
          <w:p>
            <w:r>
              <w:t>Cohort-component;</w:t>
              <w:br/>
              <w:t>3×3 variants</w:t>
            </w:r>
          </w:p>
        </w:tc>
        <w:tc>
          <w:tcPr>
            <w:tcW w:type="dxa" w:w="1872"/>
          </w:tcPr>
          <w:p>
            <w:r>
              <w:t>Cohort fertility model;</w:t>
              <w:br/>
              <w:t>MAC = 32.8</w:t>
            </w:r>
          </w:p>
        </w:tc>
        <w:tc>
          <w:tcPr>
            <w:tcW w:type="dxa" w:w="1872"/>
          </w:tcPr>
          <w:p>
            <w:r>
              <w:t>Lee–Carter; e₀ = 85.9/91.8</w:t>
            </w:r>
          </w:p>
        </w:tc>
        <w:tc>
          <w:tcPr>
            <w:tcW w:type="dxa" w:w="1872"/>
          </w:tcPr>
          <w:p>
            <w:r>
              <w:t>No</w:t>
            </w:r>
          </w:p>
        </w:tc>
      </w:tr>
      <w:tr>
        <w:tc>
          <w:tcPr>
            <w:tcW w:type="dxa" w:w="1872"/>
          </w:tcPr>
          <w:p>
            <w:r>
              <w:t>USA (Census)</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UK (ONS)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 (ISTAT)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(StatCan)</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 (NBS)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IPSS Japan (2023), US Census Bureau (2023), Destatis (2025), ONS UK (2025), INSEE France (2021), KOSTAT Korea (2023), ISTAT Italy (2023), ABS Australia (2018), Statistics Canada (2024), Eurostat (2024), CONAPO Mexico (2018), TurkStat (2023).</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4-parameter model is not designed to replace these national projection systems but to complement them by making the tempo–quantum–survival decomposition explicit. The model achieves median MAPE of 4.6% (dynamic) against these same populations—performance sufficient to establish the quantitative significance of the tempo channel, even though it cannot match the precision of full-parameterisation national models that include migration.</w:t>
      </w:r>
      <w:r>
        <w:rPr>
          <w:b w:val="0"/>
          <w:i w:val="0"/>
          <w:sz w:val="24"/>
          <w:vertAlign w:val="superscript"/>
        </w:rPr>
        <w:t>18,19</w:t>
      </w:r>
      <w:r>
        <w:rPr>
          <w:b w:val="0"/>
          <w:i w:val="0"/>
          <w:sz w:val="24"/>
        </w:rPr>
      </w:r>
    </w:p>
    <w:p>
      <w:pPr>
        <w:pStyle w:val="Heading2"/>
      </w:pPr>
      <w:r>
        <w:rPr>
          <w:color w:val="000000"/>
        </w:rPr>
        <w:t>5.2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20</w:t>
      </w:r>
      <w:r>
        <w:rPr>
          <w:b w:val="0"/>
          <w:i w:val="0"/>
          <w:sz w:val="24"/>
        </w:rPr>
        <w:t xml:space="preserve"> Second, decadal parameter updates may miss rapid within-decade transitions (e.g., Korea’s fertility collapse in the 2010s). Third, the Gompertz survival function fits adult mortality well but approximates infant and child mortality less precisely; national projections typically use more flexible models.</w:t>
      </w:r>
      <w:r>
        <w:rPr>
          <w:b w:val="0"/>
          <w:i w:val="0"/>
          <w:sz w:val="24"/>
          <w:vertAlign w:val="superscript"/>
        </w:rPr>
        <w:t>21</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22</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Three findings emerge.</w:t>
      </w:r>
    </w:p>
    <w:p>
      <w:pPr>
        <w:spacing w:after="240"/>
      </w:pPr>
      <w:r>
        <w:rPr>
          <w:b w:val="0"/>
          <w:i w:val="0"/>
          <w:sz w:val="24"/>
        </w:rPr>
        <w:t>First, the magnitude of the tempo effect is large: the observed rise in MAC across OECD countries independently reduced SLP by 8–17%, equivalent to 15–40 years of below-replacement fertility. Second, tempo is typically the second-largest component of population change in post-transitional countries, comparable in magnitude to quantum in several Central and Eastern European nations. Third, higher MAC accelerates the annual pace of population decline, compressing the time available for institutional adaptation.</w:t>
      </w:r>
    </w:p>
    <w:p>
      <w:pPr>
        <w:spacing w:after="360"/>
      </w:pPr>
      <w:r>
        <w:rPr>
          <w:b w:val="0"/>
          <w:i w:val="0"/>
          <w:sz w:val="24"/>
        </w:rPr>
        <w:t>These findings call for the systematic incorporation of tempo effects into demographic impact assessments and population policy design. The tools to do so already exist within national cohort-component projection systems; what is needed is the analytical step of decomposing quantum and tempo contributions—a step that is straightforward in principle but has been absent in practice. Pronatalist policies that address only birth quantum will overestimate their demographic impact and miss the tempo channel through which birth timing independently shapes population size and the pace of demographic change. Tempo-sensitive interventions offer a complementary policy lever—one that operates on the speed of demographic transition rather than its ultimate endpoint.</w:t>
      </w:r>
    </w:p>
    <w:p>
      <w:pPr>
        <w:pStyle w:val="Heading2"/>
      </w:pPr>
      <w:r>
        <w:rPr>
          <w:color w:val="000000"/>
        </w:rPr>
        <w:t>GATHER compliance statement</w:t>
      </w:r>
    </w:p>
    <w:p>
      <w:pPr>
        <w:spacing w:after="360"/>
      </w:pPr>
      <w:r>
        <w:rPr>
          <w:b w:val="0"/>
          <w:i w:val="0"/>
          <w:sz w:val="24"/>
        </w:rPr>
        <w:t>This study reports population estimates and follows the Guidelines for Accurate and Transparent Health Estimates Reporting (GATHER).</w:t>
      </w:r>
      <w:r>
        <w:rPr>
          <w:b w:val="0"/>
          <w:i w:val="0"/>
          <w:sz w:val="24"/>
          <w:vertAlign w:val="superscript"/>
        </w:rPr>
        <w:t>12</w:t>
      </w:r>
      <w:r>
        <w:rPr>
          <w:b w:val="0"/>
          <w:i w:val="0"/>
          <w:sz w:val="24"/>
        </w:rPr>
        <w:t xml:space="preserve"> All input data are from UN WPP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Stevens GA, Alkema L, Black RE, et al. Guidelines for Accurate and Transparent Health Estimates Reporting: The GATHER statement. The Lancet 2016; 388(10062): e19–e23.</w:t>
      </w:r>
    </w:p>
    <w:p>
      <w:pPr>
        <w:spacing w:after="80"/>
      </w:pPr>
      <w:r>
        <w:rPr>
          <w:b w:val="0"/>
          <w:i w:val="0"/>
          <w:sz w:val="22"/>
        </w:rPr>
        <w:t>13. Kohler H-P, Billari FC, Ortega JA. The emergence of lowest-low fertility in Europe during the 1990s. Population and Development Review 2002; 28(4): 641–680.</w:t>
      </w:r>
    </w:p>
    <w:p>
      <w:pPr>
        <w:spacing w:after="80"/>
      </w:pPr>
      <w:r>
        <w:rPr>
          <w:b w:val="0"/>
          <w:i w:val="0"/>
          <w:sz w:val="22"/>
        </w:rPr>
        <w:t>14. Lutz W, Sanderson W, Scherbov S. The end of world population growth. Nature 2001; 412: 543–545.</w:t>
      </w:r>
    </w:p>
    <w:p>
      <w:pPr>
        <w:spacing w:after="80"/>
      </w:pPr>
      <w:r>
        <w:rPr>
          <w:b w:val="0"/>
          <w:i w:val="0"/>
          <w:sz w:val="22"/>
        </w:rPr>
        <w:t>15. McDonald P. Gender equity in theories of fertility transition. Population and Development Review 2000; 26(3): 427–439.</w:t>
      </w:r>
    </w:p>
    <w:p>
      <w:pPr>
        <w:spacing w:after="80"/>
      </w:pPr>
      <w:r>
        <w:rPr>
          <w:b w:val="0"/>
          <w:i w:val="0"/>
          <w:sz w:val="22"/>
        </w:rPr>
        <w:t>16. Bongaarts J, Sobotka T. A demographic explanation for the recent rise in European fertility. Population and Development Review 2012; 38(1): 83–120.</w:t>
      </w:r>
    </w:p>
    <w:p>
      <w:pPr>
        <w:spacing w:after="80"/>
      </w:pPr>
      <w:r>
        <w:rPr>
          <w:b w:val="0"/>
          <w:i w:val="0"/>
          <w:sz w:val="22"/>
        </w:rPr>
        <w:t>17. Myrskylä M, Kohler H-P, Billari FC. Advances in development reverse fertility declines. Nature 2009; 460: 741–743.</w:t>
      </w:r>
    </w:p>
    <w:p>
      <w:pPr>
        <w:spacing w:after="80"/>
      </w:pPr>
      <w:r>
        <w:rPr>
          <w:b w:val="0"/>
          <w:i w:val="0"/>
          <w:sz w:val="22"/>
        </w:rPr>
        <w:t>18. Gonand F. Assessing the robustness of demographic projections in OECD countries. OECD Economics Department Working Papers No. 464. Paris: OECD Publishing; 2005.</w:t>
      </w:r>
    </w:p>
    <w:p>
      <w:pPr>
        <w:spacing w:after="80"/>
      </w:pPr>
      <w:r>
        <w:rPr>
          <w:b w:val="0"/>
          <w:i w:val="0"/>
          <w:sz w:val="22"/>
        </w:rPr>
        <w:t>19. Lee RD, Carter LR. Modeling and forecasting U.S. mortality. Journal of the American Statistical Association 1992; 87(419): 659–671.</w:t>
      </w:r>
    </w:p>
    <w:p>
      <w:pPr>
        <w:spacing w:after="80"/>
      </w:pPr>
      <w:r>
        <w:rPr>
          <w:b w:val="0"/>
          <w:i w:val="0"/>
          <w:sz w:val="22"/>
        </w:rPr>
        <w:t>20. Frejka T, Sobotka T. Fertility in Europe: Diverse, delayed and below replacement. Demographic Research 2008; 19(3): 15–46.</w:t>
      </w:r>
    </w:p>
    <w:p>
      <w:pPr>
        <w:spacing w:after="80"/>
      </w:pPr>
      <w:r>
        <w:rPr>
          <w:b w:val="0"/>
          <w:i w:val="0"/>
          <w:sz w:val="22"/>
        </w:rPr>
        <w:t>21. Wilmoth JR, Zureick S, Canudas-Romo V, Inoue M, Sawyer C. A flexible two-dimensional mortality model for use in indirect estimation. Population Studies 2012; 66(1): 1–28.</w:t>
      </w:r>
    </w:p>
    <w:p>
      <w:pPr>
        <w:spacing w:after="80"/>
      </w:pPr>
      <w:r>
        <w:rPr>
          <w:b w:val="0"/>
          <w:i w:val="0"/>
          <w:sz w:val="22"/>
        </w:rPr>
        <w:t>22. Lesthaeghe R. The unfolding story of the Second Demographic Transition. Population and Development Review 2010; 36(2): 211–251.</w:t>
      </w:r>
    </w:p>
    <w:p>
      <w:pPr>
        <w:spacing w:after="80"/>
      </w:pPr>
      <w:r>
        <w:rPr>
          <w:b w:val="0"/>
          <w:i w:val="0"/>
          <w:sz w:val="22"/>
        </w:rPr>
        <w:t>23. Lutz W, Skirbekk V, Testa MR. The low-fertility trap hypothesis. Vienna Yearbook of Population Research 2006; 4: 167–192.</w:t>
      </w:r>
    </w:p>
    <w:p>
      <w:pPr>
        <w:spacing w:after="80"/>
      </w:pPr>
      <w:r>
        <w:rPr>
          <w:b w:val="0"/>
          <w:i w:val="0"/>
          <w:sz w:val="22"/>
        </w:rPr>
        <w:t>24. Goldstein JR, Kreyenfeld M. Has East Germany overtaken West Germany? Recent trends in order-specific fertility. Population and Development Review 2011; 37(3): 453–472.</w:t>
      </w:r>
    </w:p>
    <w:p>
      <w:pPr>
        <w:spacing w:after="80"/>
      </w:pPr>
      <w:r>
        <w:rPr>
          <w:b w:val="0"/>
          <w:i w:val="0"/>
          <w:sz w:val="22"/>
        </w:rPr>
        <w:t>25. Witte JC, Wagner GG. Declining fertility in East Germany after unification. Population and Development Review 1995; 21(2): 387–397.</w:t>
      </w:r>
    </w:p>
    <w:p>
      <w:pPr>
        <w:spacing w:after="80"/>
      </w:pPr>
      <w:r>
        <w:rPr>
          <w:b w:val="0"/>
          <w:i w:val="0"/>
          <w:sz w:val="22"/>
        </w:rPr>
        <w:t>26. Gauthier AH. The impact of family policies on fertility in industrialized countries. Population Research and Policy Review 2007; 26(3): 323–346.</w:t>
      </w:r>
    </w:p>
    <w:p>
      <w:r>
        <w:br w:type="page"/>
      </w:r>
    </w:p>
    <w:p>
      <w:pPr>
        <w:pStyle w:val="Heading1"/>
      </w:pPr>
      <w:r>
        <w:rPr>
          <w:color w:val="000000"/>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We analyse five such cases.</w:t>
      </w:r>
    </w:p>
    <w:p>
      <w:pPr>
        <w:pStyle w:val="Heading2"/>
      </w:pPr>
      <w:r>
        <w:rPr>
          <w:color w:val="000000"/>
        </w:rPr>
        <w:t>A.1 Germany: Reunification as a migration shock (1990)</w:t>
      </w:r>
    </w:p>
    <w:p>
      <w:pPr>
        <w:spacing w:after="120"/>
      </w:pPr>
      <w:r>
        <w:rPr>
          <w:b w:val="0"/>
          <w:i w:val="0"/>
          <w:sz w:val="24"/>
        </w:rPr>
        <w:t>German reunification on 3 October 1990 merged two populations that had evolved under sharply different demographic regimes for 41 years. East Germany had lower life expectancy (~74.5 versus ~76.0 in the West in 1990), earlier childbearing (MAC ≈ 25.1 vs. 28.3), and higher but declining TFR (1.52 vs. 1.45). The immediate aftermath saw massive East-to-West migration (~1.9 million between 1989 and 1992) and a dramatic fertility collapse in the East (TFR fell to 0.77 in 1994).</w:t>
      </w:r>
      <w:r>
        <w:rPr>
          <w:b w:val="0"/>
          <w:i w:val="0"/>
          <w:sz w:val="24"/>
          <w:vertAlign w:val="superscript"/>
        </w:rPr>
        <w:t>24,25</w:t>
      </w:r>
      <w:r>
        <w:rPr>
          <w:b w:val="0"/>
          <w:i w:val="0"/>
          <w:sz w:val="24"/>
        </w:rPr>
      </w:r>
    </w:p>
    <w:p>
      <w:pPr>
        <w:spacing w:after="120"/>
      </w:pPr>
      <w:r>
        <w:rPr>
          <w:b w:val="0"/>
          <w:i w:val="0"/>
          <w:sz w:val="24"/>
        </w:rPr>
        <w:t>We model East and West Germany separately, run both forward from 1970, and construct a synthetic combined trajectory. This represents the counterfactual: what would Germany’s population have looked like without reunification-related migration?</w:t>
      </w:r>
    </w:p>
    <w:p>
      <w:pPr>
        <w:spacing w:after="80"/>
      </w:pPr>
      <w:r>
        <w:rPr>
          <w:b/>
          <w:i w:val="0"/>
          <w:sz w:val="22"/>
        </w:rPr>
        <w:t>Table A1: Germany reunification — synthetic East+West versus observed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4"/>
        </w:rPr>
        <w:t>The widening gap (3.6% to 15.8%) reflects three compounding processes absent from the closed model: (a) net immigration to unified Germany averaging ~300,000–400,000 per year; (b) internal East-to-West migration; and (c) convergence of East German fertility toward Western patterns. The overall MAPE of 6.4% confirms that Germany’s relatively poor fit in the main analysis is attributable to reunification’s migration effects, not structural model failure.</w:t>
      </w:r>
    </w:p>
    <w:p>
      <w:pPr>
        <w:spacing w:before="360" w:after="80"/>
      </w:pPr>
      <w:r>
        <w:rPr>
          <w:b/>
          <w:sz w:val="22"/>
        </w:rPr>
        <w:t>Figure A-1: Germany reunification analysis</w:t>
      </w:r>
    </w:p>
    <w:p>
      <w:pPr>
        <w:spacing w:after="40"/>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pPr>
      <w:r>
        <w:rPr>
          <w:i/>
          <w:sz w:val="18"/>
        </w:rPr>
        <w:t>Note: (a) Modelled East and West Germany with synthetic combined trajectory versus observed unified Germany. (b) Percentage deviation over time.</w:t>
      </w:r>
    </w:p>
    <w:p>
      <w:pPr>
        <w:pStyle w:val="Heading2"/>
      </w:pPr>
      <w:r>
        <w:rPr>
          <w:color w:val="000000"/>
        </w:rPr>
        <w:t>A.2 Czechoslovakia: The Velvet Divorce (1993)</w:t>
      </w:r>
    </w:p>
    <w:p>
      <w:pPr>
        <w:spacing w:after="240"/>
      </w:pPr>
      <w:r>
        <w:rPr>
          <w:b w:val="0"/>
          <w:i w:val="0"/>
          <w:sz w:val="24"/>
        </w:rPr>
        <w:t>The peaceful dissolution of Czechoslovakia on 1 January 1993 created Czechia and Slovakia with relatively limited cross-border migration. MAPE: Czechia 6.3%, Slovakia 9.9%. Slovakia’s higher error reflects emigration to Czechia and Western Europe following EU accession (2004).</w:t>
      </w:r>
    </w:p>
    <w:p>
      <w:pPr>
        <w:pStyle w:val="Heading2"/>
      </w:pPr>
      <w:r>
        <w:rPr>
          <w:color w:val="000000"/>
        </w:rPr>
        <w:t>A.3 Yugoslavia: Dissolution and conflict (1991–2001)</w:t>
      </w:r>
    </w:p>
    <w:p>
      <w:pPr>
        <w:spacing w:after="240"/>
      </w:pPr>
      <w:r>
        <w:rPr>
          <w:b w:val="0"/>
          <w:i w:val="0"/>
          <w:sz w:val="24"/>
        </w:rPr>
        <w:t>The breakup of Yugoslavia involved armed conflict and massive refugee flows. Model performance varies: Croatia (4.1%), North Macedonia (6.4%) show reasonable fit; Bosnia and Herzegovina (8.1%) and Slovenia (12.2%) show larger errors. The range illustrates how conflict-driven migration creates heterogeneous deviations from the endogenous renewal baseline.</w:t>
      </w:r>
    </w:p>
    <w:p>
      <w:pPr>
        <w:pStyle w:val="Heading2"/>
      </w:pPr>
      <w:r>
        <w:rPr>
          <w:color w:val="000000"/>
        </w:rPr>
        <w:t>A.4 Baltic States: USSR dissolution (1991)</w:t>
      </w:r>
    </w:p>
    <w:p>
      <w:pPr>
        <w:spacing w:after="240"/>
      </w:pPr>
      <w:r>
        <w:rPr>
          <w:b w:val="0"/>
          <w:i w:val="0"/>
          <w:sz w:val="24"/>
        </w:rPr>
        <w:t>Estonia, Latvia, and Lithuania gained independence in 1991. MAPE ranges from 4.8% (Estonia) to 7.1% (Lithuania), reflecting persistent emigration. Even moderate but sustained net emigration (~0.5–1.0% annually) accumulates substantially over three decades.</w:t>
      </w:r>
    </w:p>
    <w:p>
      <w:pPr>
        <w:pStyle w:val="Heading2"/>
      </w:pPr>
      <w:r>
        <w:rPr>
          <w:color w:val="000000"/>
        </w:rPr>
        <w:t>A.5 Ethiopia and Eritrea: Separation (1993)</w:t>
      </w:r>
    </w:p>
    <w:p>
      <w:pPr>
        <w:spacing w:after="120"/>
      </w:pPr>
      <w:r>
        <w:rPr>
          <w:b w:val="0"/>
          <w:i w:val="0"/>
          <w:sz w:val="24"/>
        </w:rPr>
        <w:t>Eritrean independence separated two populations in high-fertility transition. Ethiopia (MAPE 16.5%) shows overprojection from rapid fertility decline. Eritrea (37.8%) shows the largest error, driven by conflict and data uncertainty.</w:t>
      </w:r>
    </w:p>
    <w:p>
      <w:pPr>
        <w:spacing w:before="360" w:after="80"/>
      </w:pPr>
      <w:r>
        <w:rPr>
          <w:b/>
          <w:sz w:val="22"/>
        </w:rPr>
        <w:t>Figure A-2: Natural experiments summary</w:t>
      </w:r>
    </w:p>
    <w:p>
      <w:pPr>
        <w:spacing w:after="40"/>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pPr>
      <w:r>
        <w:rPr>
          <w:i/>
          <w:sz w:val="18"/>
        </w:rPr>
        <w:t>Note: Population trajectories for five cases of major political/border change. Red vertical lines mark the year of political change.</w:t>
      </w:r>
    </w:p>
    <w:p>
      <w:pPr>
        <w:pStyle w:val="Heading2"/>
      </w:pPr>
      <w:r>
        <w:rPr>
          <w:color w:val="000000"/>
        </w:rPr>
        <w:t>A.6 Synthesis</w:t>
      </w:r>
    </w:p>
    <w:p>
      <w:pPr>
        <w:spacing w:after="80"/>
      </w:pPr>
      <w:r>
        <w:rPr>
          <w:b/>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