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The Forgotten Tempo Effect in Capital Accounting: Investment-to-Output Time-to-Build, Intangible Capital, and the Reconciliation of Flow- and Stock-Based National Wealth Measures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Running head: Tempo Effect in Capital Accounting</w:t>
      </w:r>
    </w:p>
    <w:p>
      <w:pPr>
        <w:spacing w:after="120" w:line="480" w:lineRule="auto"/>
        <w:ind w:firstLine="480"/>
      </w:pPr>
      <w:r>
        <w:rPr>
          <w:rFonts w:ascii="Times New Roman" w:hAnsi="Times New Roman" w:eastAsia="MS Mincho"/>
          <w:b w:val="0"/>
          <w:i w:val="0"/>
          <w:sz w:val="24"/>
        </w:rPr>
        <w:t>Keywords: tempo effect; intangible capital; perpetual inventory method; time-to-build; flow-stock consistency; Beyond-GDP.</w:t>
      </w:r>
    </w:p>
    <w:p>
      <w:pPr>
        <w:spacing w:after="120" w:line="480" w:lineRule="auto"/>
        <w:ind w:firstLine="480"/>
      </w:pPr>
      <w:r>
        <w:rPr>
          <w:rFonts w:ascii="Times New Roman" w:hAnsi="Times New Roman" w:eastAsia="MS Mincho"/>
          <w:b w:val="0"/>
          <w:i w:val="0"/>
          <w:sz w:val="24"/>
        </w:rPr>
        <w:t>JEL codes: E01 (Measurement and Data on National Income and Product Accounts); E22 (Investment; Capital; Intangible Capital); O47 (Measurement of Economic Growth; Aggregate Productivity).</w:t>
      </w:r>
    </w:p>
    <w:p>
      <w:pPr>
        <w:spacing w:after="120" w:line="480" w:lineRule="auto"/>
        <w:ind w:firstLine="480"/>
      </w:pPr>
      <w:r>
        <w:rPr>
          <w:rFonts w:ascii="Times New Roman" w:hAnsi="Times New Roman" w:eastAsia="MS Mincho"/>
          <w:b w:val="0"/>
          <w:i w:val="0"/>
          <w:sz w:val="24"/>
        </w:rPr>
        <w:t>CRediT contribution statement. O.T.: Conceptualization, Methodology, Software, Formal analysis, Writing - original draft, Writing - review &amp; editing.</w:t>
      </w:r>
    </w:p>
    <w:p>
      <w:pPr>
        <w:spacing w:after="120" w:line="480" w:lineRule="auto"/>
        <w:ind w:firstLine="480"/>
      </w:pPr>
      <w:r>
        <w:rPr>
          <w:rFonts w:ascii="Times New Roman" w:hAnsi="Times New Roman" w:eastAsia="MS Mincho"/>
          <w:b w:val="0"/>
          <w:i w:val="0"/>
          <w:sz w:val="24"/>
        </w:rPr>
        <w:t>Declaration of generative artificial intelligence (AI) in scientific writing. The author used generative AI to help with formatting the text and choosing words that suited the tone, and to help writing codes.</w:t>
      </w:r>
    </w:p>
    <w:p>
      <w:pPr>
        <w:spacing w:after="120" w:line="480" w:lineRule="auto"/>
        <w:ind w:firstLine="480"/>
      </w:pPr>
      <w:r>
        <w:rPr>
          <w:rFonts w:ascii="Times New Roman" w:hAnsi="Times New Roman" w:eastAsia="MS Mincho"/>
          <w:b w:val="0"/>
          <w:i w:val="0"/>
          <w:sz w:val="24"/>
        </w:rPr>
        <w:t>Conflict of interest. The author declares no conflict of interest.</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480" w:lineRule="auto"/>
        <w:ind w:firstLine="480"/>
      </w:pPr>
      <w:r>
        <w:rPr>
          <w:rFonts w:ascii="Times New Roman" w:hAnsi="Times New Roman" w:eastAsia="MS Mincho"/>
          <w:b w:val="0"/>
          <w:i w:val="0"/>
          <w:sz w:val="24"/>
        </w:rPr>
        <w:t>Abstract (146 words). Since Goldstein, Lutz, and Scherbov (2003) showed that a single "forgotten" parity-specific variance parameter σ resolved a large share of the low-fertility puzzle once tempo effects on the mean age at childbearing were acknowledged, the dual of quantum and tempo has become a standard lens in formal demography.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σ. Across 39 OECD and middle-income economies (Penn World Table 10.01, World Bank CWON), a time-varying μ(t) reduces the out-of-sample MAPE of GDP levels from 4.60% to 3.99% while a joint production-cum-wealth identification produces internally consistent flow and stock accounts. A sister medical-spending paper is in preparation.</w:t>
      </w:r>
    </w:p>
    <w:p>
      <w:pPr>
        <w:spacing w:after="120" w:line="480" w:lineRule="auto"/>
        <w:ind w:firstLine="480"/>
      </w:pPr>
      <w:r>
        <w:rPr>
          <w:rFonts w:ascii="Times New Roman" w:hAnsi="Times New Roman" w:eastAsia="MS Mincho"/>
          <w:b w:val="0"/>
          <w:i w:val="0"/>
          <w:sz w:val="24"/>
        </w:rPr>
        <w:t>Keywords: tempo effect; intangible capital; perpetual inventory method; wealth accounting; Beyond-GDP.</w:t>
      </w:r>
    </w:p>
    <w:p>
      <w:pPr>
        <w:spacing w:after="120" w:line="480" w:lineRule="auto"/>
        <w:ind w:firstLine="480"/>
      </w:pPr>
      <w:r>
        <w:rPr>
          <w:rFonts w:ascii="Times New Roman" w:hAnsi="Times New Roman" w:eastAsia="MS Mincho"/>
          <w:b w:val="0"/>
          <w:i w:val="0"/>
          <w:sz w:val="24"/>
        </w:rPr>
        <w:t>JEL codes: E01, E22, O47.</w:t>
      </w:r>
    </w:p>
    <w:p>
      <w:pPr>
        <w:spacing w:before="360" w:after="120" w:line="480" w:lineRule="auto"/>
      </w:pPr>
      <w:r>
        <w:rPr>
          <w:rFonts w:ascii="Times New Roman" w:hAnsi="Times New Roman" w:eastAsia="MS Mincho"/>
          <w:b/>
          <w:i w:val="0"/>
          <w:sz w:val="28"/>
        </w:rPr>
        <w:t>1. Introduction</w:t>
      </w:r>
    </w:p>
    <w:p>
      <w:pPr>
        <w:spacing w:after="120" w:line="480" w:lineRule="auto"/>
        <w:ind w:firstLine="480"/>
      </w:pPr>
      <w:r>
        <w:rPr>
          <w:rFonts w:ascii="Times New Roman" w:hAnsi="Times New Roman" w:eastAsia="MS Mincho"/>
          <w:b w:val="0"/>
          <w:i w:val="0"/>
          <w:sz w:val="24"/>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480" w:lineRule="auto"/>
        <w:ind w:firstLine="480"/>
      </w:pPr>
      <w:r>
        <w:rPr>
          <w:rFonts w:ascii="Times New Roman" w:hAnsi="Times New Roman" w:eastAsia="MS Mincho"/>
          <w:b w:val="0"/>
          <w:i w:val="0"/>
          <w:sz w:val="24"/>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480" w:lineRule="auto"/>
        <w:ind w:firstLine="480"/>
      </w:pPr>
      <w:r>
        <w:rPr>
          <w:rFonts w:ascii="Times New Roman" w:hAnsi="Times New Roman" w:eastAsia="MS Mincho"/>
          <w:b w:val="0"/>
          <w:i w:val="0"/>
          <w:sz w:val="24"/>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480" w:lineRule="auto"/>
        <w:ind w:firstLine="480"/>
      </w:pPr>
      <w:r>
        <w:rPr>
          <w:rFonts w:ascii="Times New Roman" w:hAnsi="Times New Roman" w:eastAsia="MS Mincho"/>
          <w:b w:val="0"/>
          <w:i w:val="0"/>
          <w:sz w:val="24"/>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480" w:lineRule="auto"/>
        <w:ind w:firstLine="480"/>
      </w:pPr>
      <w:r>
        <w:rPr>
          <w:rFonts w:ascii="Times New Roman" w:hAnsi="Times New Roman" w:eastAsia="MS Mincho"/>
          <w:b w:val="0"/>
          <w:i w:val="0"/>
          <w:sz w:val="24"/>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360" w:after="120" w:line="480" w:lineRule="auto"/>
      </w:pPr>
      <w:r>
        <w:rPr>
          <w:rFonts w:ascii="Times New Roman" w:hAnsi="Times New Roman" w:eastAsia="MS Mincho"/>
          <w:b/>
          <w:i w:val="0"/>
          <w:sz w:val="28"/>
        </w:rPr>
        <w:t>2.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pPr>
      <w:r>
        <w:rPr>
          <w:rFonts w:ascii="Times New Roman" w:hAnsi="Times New Roman" w:eastAsia="MS Mincho"/>
          <w:b/>
          <w:i w:val="0"/>
          <w:sz w:val="28"/>
        </w:rPr>
        <w:t>3. Theory</w:t>
      </w:r>
    </w:p>
    <w:p>
      <w:pPr>
        <w:spacing w:before="360" w:after="120" w:line="480" w:lineRule="auto"/>
      </w:pPr>
      <w:r>
        <w:rPr>
          <w:rFonts w:ascii="Times New Roman" w:hAnsi="Times New Roman" w:eastAsia="MS Mincho"/>
          <w:b/>
          <w:i w:val="0"/>
          <w:sz w:val="24"/>
        </w:rPr>
        <w:t>3.1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3.2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3.3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3.4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3.5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pPr>
      <w:r>
        <w:rPr>
          <w:rFonts w:ascii="Times New Roman" w:hAnsi="Times New Roman" w:eastAsia="MS Mincho"/>
          <w:b/>
          <w:i w:val="0"/>
          <w:sz w:val="28"/>
        </w:rPr>
        <w:t>4. Data and methods</w:t>
      </w:r>
    </w:p>
    <w:p>
      <w:pPr>
        <w:spacing w:before="360" w:after="120" w:line="480" w:lineRule="auto"/>
      </w:pPr>
      <w:r>
        <w:rPr>
          <w:rFonts w:ascii="Times New Roman" w:hAnsi="Times New Roman" w:eastAsia="MS Mincho"/>
          <w:b/>
          <w:i w:val="0"/>
          <w:sz w:val="24"/>
        </w:rPr>
        <w:t>4.1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4.2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3.3),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4.3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4.4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4.5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pPr>
      <w:r>
        <w:rPr>
          <w:rFonts w:ascii="Times New Roman" w:hAnsi="Times New Roman" w:eastAsia="MS Mincho"/>
          <w:b/>
          <w:i w:val="0"/>
          <w:sz w:val="28"/>
        </w:rPr>
        <w:t>5. Results</w:t>
      </w:r>
    </w:p>
    <w:p>
      <w:pPr>
        <w:spacing w:before="360" w:after="120" w:line="48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3.5.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8"/>
        </w:rPr>
        <w:t>6.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6.1 Re-interpreting the Solow residual</w:t>
      </w:r>
    </w:p>
    <w:p>
      <w:pPr>
        <w:spacing w:after="120" w:line="480" w:lineRule="auto"/>
        <w:ind w:firstLine="480"/>
      </w:pPr>
      <w:r>
        <w:rPr>
          <w:rFonts w:ascii="Times New Roman" w:hAnsi="Times New Roman" w:eastAsia="MS Mincho"/>
          <w:b w:val="0"/>
          <w:i w:val="0"/>
          <w:sz w:val="24"/>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6.2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6.3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6.4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6.5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pPr>
      <w:r>
        <w:rPr>
          <w:rFonts w:ascii="Times New Roman" w:hAnsi="Times New Roman" w:eastAsia="MS Mincho"/>
          <w:b/>
          <w:i w:val="0"/>
          <w:sz w:val="28"/>
        </w:rPr>
        <w:t>7.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