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Submission checklist</w:t>
      </w:r>
    </w:p>
    <w:p>
      <w:pPr>
        <w:spacing w:before="280" w:after="120"/>
      </w:pPr>
      <w:r>
        <w:rPr>
          <w:b/>
        </w:rPr>
        <w:t>Items included in the submission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Status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File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 letter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Cover_Letter_DataPolicy.docx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 with author details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Title_Page_DataPolicy.docx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Article file (figures/tables inline; non-anonymized)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Manuscript_DataPolicy.docx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 (&lt;=250 words)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214 words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Policy Significance Statement (120 words)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121 words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Keywords (&lt;=5, semicolon-separated)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 (PNG + TIFF + PDF, 600 dpi)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figures/Figure1-5.*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figures (one per slide)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Figures_DataPolicy_editable.pptx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tables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Tables_DataPolicy_editable.docx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 guideline (PRISMA-ScR)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Reporting_Guideline_PRISMA-ScR.docx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 audit (author-date)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Citation_Audit.csv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 verification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Reference_Verification.csv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Main-text word count (excl. references): 2495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Title_Page_DataPolicy.docx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availability statement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Funding statement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Competing interests statement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