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of this relationship remain poorly quantified. In Japan, physician workforce maldistribution has intensified amid the 2024 work-style reform and the growing "chokubi" phenomenon—young physicians bypassing specialist training to enter non-insured aesthetic medicine.</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showed significant forward Granger causality (incidents → workforce; P &lt; 0.05). Obstetrics and gynaecology exhibited the strongest association (F = 46.66, P &lt; 0.001). Bidirectional causality was observed in 7 specialty–outcome pairs. Impulse response functions indicated that a litigation shock reduced physician supply for 3–5 years. General surgery physicians are projected to decline by approximately 230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Medical safety incidents Granger-cause reductions in physician supply across most specialties, with effects lasting 3–5 years. Combined with work-style reform constraints and the pull of non-insured sectors, these findings highlight an accelerating workforce crisis requiring integrated policy responses.</w:t>
      </w:r>
    </w:p>
    <w:p>
      <w:pPr>
        <w:spacing w:after="360" w:line="480" w:lineRule="auto"/>
      </w:pPr>
      <w:r>
        <w:rPr>
          <w:rFonts w:ascii="Times New Roman" w:hAnsi="Times New Roman"/>
          <w:b w:val="0"/>
          <w:i/>
          <w:sz w:val="24"/>
        </w:rPr>
        <w:t>Key words: physician workforce, Granger causality, medical safety incidents, specialty maldistribution, work-style reform, aesthetic medicine,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healthcare system faces a deepening crisis of physician workforce maldistribution across specialties and geographic regions.</w:t>
      </w:r>
      <w:r>
        <w:rPr>
          <w:rFonts w:ascii="Times New Roman" w:hAnsi="Times New Roman"/>
          <w:b w:val="0"/>
          <w:i w:val="0"/>
          <w:sz w:val="20"/>
          <w:vertAlign w:val="superscript"/>
        </w:rPr>
        <w:t>1,2</w:t>
      </w:r>
      <w:r>
        <w:rPr>
          <w:rFonts w:ascii="Times New Roman" w:hAnsi="Times New Roman"/>
          <w:b w:val="0"/>
          <w:i w:val="0"/>
          <w:sz w:val="24"/>
        </w:rPr>
        <w:t xml:space="preserve"> While the total number of physicians has grown steadily, reaching approximately 340,000 in 2022, this aggregate growth masks critical shortages in essential specialties such as general surgery, obstetrics, emergency medicine, and paediatrics.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Two recent developments have amplified public concern over specialty maldistribution. First, the "chokubi" (直美) phenomenon—in which newly licensed physicians bypass specialist training to enter non-insured aesthetic medicine immediately after their mandatory 2-year residency—has drawn considerable media and policy attention.</w:t>
      </w:r>
      <w:r>
        <w:rPr>
          <w:rFonts w:ascii="Times New Roman" w:hAnsi="Times New Roman"/>
          <w:b w:val="0"/>
          <w:i w:val="0"/>
          <w:sz w:val="20"/>
          <w:vertAlign w:val="superscript"/>
        </w:rPr>
        <w:t>5,6</w:t>
      </w:r>
      <w:r>
        <w:rPr>
          <w:rFonts w:ascii="Times New Roman" w:hAnsi="Times New Roman"/>
          <w:b w:val="0"/>
          <w:i w:val="0"/>
          <w:sz w:val="24"/>
        </w:rPr>
        <w:t xml:space="preserve"> An estimated 200–300 physicians (2–3% of annual new registrants) now take this path, attracted by salaries exceeding 20 million JPY and regular working hours without night shifts.</w:t>
      </w:r>
      <w:r>
        <w:rPr>
          <w:rFonts w:ascii="Times New Roman" w:hAnsi="Times New Roman"/>
          <w:b w:val="0"/>
          <w:i w:val="0"/>
          <w:sz w:val="20"/>
          <w:vertAlign w:val="superscript"/>
        </w:rPr>
        <w:t>5</w:t>
      </w:r>
      <w:r>
        <w:rPr>
          <w:rFonts w:ascii="Times New Roman" w:hAnsi="Times New Roman"/>
          <w:b w:val="0"/>
          <w:i w:val="0"/>
          <w:sz w:val="24"/>
        </w:rPr>
        <w:t xml:space="preserve"> Second, the April 2024 implementation of physician work-style reform (time-based overtime caps of 960 hours annually) has restricted moonlighting opportunities ("gaikin") that previously supplemented income in lower-paying hospital posts, paradoxically increasing workload for mid-career physicians through uncompensated labour classified as "deemed self-study" (minashi jiko-kenshu).</w:t>
      </w:r>
      <w:r>
        <w:rPr>
          <w:rFonts w:ascii="Times New Roman" w:hAnsi="Times New Roman"/>
          <w:b w:val="0"/>
          <w:i w:val="0"/>
          <w:sz w:val="20"/>
          <w:vertAlign w:val="superscript"/>
        </w:rPr>
        <w:t>7,8</w:t>
      </w:r>
      <w:r>
        <w:rPr>
          <w:rFonts w:ascii="Times New Roman" w:hAnsi="Times New Roman"/>
          <w:b w:val="0"/>
          <w:i w:val="0"/>
          <w:sz w:val="24"/>
        </w:rPr>
        <w:t xml:space="preserve"> These structural incentives, combined with occupational medicine (sangyoui) offering stable corporate employment without clinical risk, create powerful pull factors away from high-acuity hospital-based specialties.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The role of medical safety incidents as a push factor driving physicians away from high-risk specialties has been discussed since the landmark 2004 Fukushima obstetrics prosecution, in which an obstetrician was arrested following a maternal death during caesarean section.</w:t>
      </w:r>
      <w:r>
        <w:rPr>
          <w:rFonts w:ascii="Times New Roman" w:hAnsi="Times New Roman"/>
          <w:b w:val="0"/>
          <w:i w:val="0"/>
          <w:sz w:val="20"/>
          <w:vertAlign w:val="superscript"/>
        </w:rPr>
        <w:t>10,11</w:t>
      </w:r>
      <w:r>
        <w:rPr>
          <w:rFonts w:ascii="Times New Roman" w:hAnsi="Times New Roman"/>
          <w:b w:val="0"/>
          <w:i w:val="0"/>
          <w:sz w:val="24"/>
        </w:rPr>
        <w:t xml:space="preserve"> Morita estimated a 13% decrease in obstetricians in the affected prefecture using difference-in-differences analysis.</w:t>
      </w:r>
      <w:r>
        <w:rPr>
          <w:rFonts w:ascii="Times New Roman" w:hAnsi="Times New Roman"/>
          <w:b w:val="0"/>
          <w:i w:val="0"/>
          <w:sz w:val="20"/>
          <w:vertAlign w:val="superscript"/>
        </w:rPr>
        <w:t>12</w:t>
      </w:r>
      <w:r>
        <w:rPr>
          <w:rFonts w:ascii="Times New Roman" w:hAnsi="Times New Roman"/>
          <w:b w:val="0"/>
          <w:i w:val="0"/>
          <w:sz w:val="24"/>
        </w:rPr>
        <w:t xml:space="preserve"> However, this analysis was limited to a single event, specialty, and geographic area. Broader evidence linking incident trends to workforce dynamics across multiple specialties remains scarce.</w:t>
      </w:r>
    </w:p>
    <w:p>
      <w:pPr>
        <w:spacing w:after="120" w:line="480" w:lineRule="auto"/>
      </w:pPr>
      <w:r>
        <w:rPr>
          <w:rFonts w:ascii="Times New Roman" w:hAnsi="Times New Roman"/>
          <w:b w:val="0"/>
          <w:i w:val="0"/>
          <w:sz w:val="24"/>
        </w:rPr>
        <w:t>Japan possesses two complementary national data sources on medical safety incidents: the Japan Medical Safety Research Organisation (JMSR) mandatory reporting system established in 2015,</w:t>
      </w:r>
      <w:r>
        <w:rPr>
          <w:rFonts w:ascii="Times New Roman" w:hAnsi="Times New Roman"/>
          <w:b w:val="0"/>
          <w:i w:val="0"/>
          <w:sz w:val="20"/>
          <w:vertAlign w:val="superscript"/>
        </w:rPr>
        <w:t>13</w:t>
      </w:r>
      <w:r>
        <w:rPr>
          <w:rFonts w:ascii="Times New Roman" w:hAnsi="Times New Roman"/>
          <w:b w:val="0"/>
          <w:i w:val="0"/>
          <w:sz w:val="24"/>
        </w:rPr>
        <w:t xml:space="preserve"> and the Supreme Court annual statistics on medical malpractice litigation by specialty.</w:t>
      </w:r>
      <w:r>
        <w:rPr>
          <w:rFonts w:ascii="Times New Roman" w:hAnsi="Times New Roman"/>
          <w:b w:val="0"/>
          <w:i w:val="0"/>
          <w:sz w:val="20"/>
          <w:vertAlign w:val="superscript"/>
        </w:rPr>
        <w:t>14,15</w:t>
      </w:r>
      <w:r>
        <w:rPr>
          <w:rFonts w:ascii="Times New Roman" w:hAnsi="Times New Roman"/>
          <w:b w:val="0"/>
          <w:i w:val="0"/>
          <w:sz w:val="24"/>
        </w:rPr>
        <w:t xml:space="preserve"> Combined with biennial national physician surveys and annual facility registrations, these data enable a systematic, multi-specialty analysis.</w:t>
      </w:r>
    </w:p>
    <w:p>
      <w:pPr>
        <w:spacing w:after="120" w:line="480" w:lineRule="auto"/>
      </w:pPr>
      <w:r>
        <w:rPr>
          <w:rFonts w:ascii="Times New Roman" w:hAnsi="Times New Roman"/>
          <w:b w:val="0"/>
          <w:i w:val="0"/>
          <w:sz w:val="24"/>
        </w:rPr>
        <w:t>Previous analyses, including our own, relied on interrupted time series (ITS) methodology,</w:t>
      </w:r>
      <w:r>
        <w:rPr>
          <w:rFonts w:ascii="Times New Roman" w:hAnsi="Times New Roman"/>
          <w:b w:val="0"/>
          <w:i w:val="0"/>
          <w:sz w:val="20"/>
          <w:vertAlign w:val="superscript"/>
        </w:rPr>
        <w:t>16</w:t>
      </w:r>
      <w:r>
        <w:rPr>
          <w:rFonts w:ascii="Times New Roman" w:hAnsi="Times New Roman"/>
          <w:b w:val="0"/>
          <w:i w:val="0"/>
          <w:sz w:val="24"/>
        </w:rPr>
        <w:t xml:space="preserve"> which assumes a discrete exogenous intervention point poorly suited to continuously varying incident counts. We therefore applied vector autoregression (VAR) models and Granger causality tests—methods widely used in econometrics and increasingly in health policy research</w:t>
      </w:r>
      <w:r>
        <w:rPr>
          <w:rFonts w:ascii="Times New Roman" w:hAnsi="Times New Roman"/>
          <w:b w:val="0"/>
          <w:i w:val="0"/>
          <w:sz w:val="20"/>
          <w:vertAlign w:val="superscript"/>
        </w:rPr>
        <w:t>17–19</w:t>
      </w:r>
      <w:r>
        <w:rPr>
          <w:rFonts w:ascii="Times New Roman" w:hAnsi="Times New Roman"/>
          <w:b w:val="0"/>
          <w:i w:val="0"/>
          <w:sz w:val="24"/>
        </w:rPr>
        <w:t>—to formally test whether medical safety incidents temporally precede and predict changes in specialty-specific physician and facility counts.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We conducted a secondary analysis of routinely collected national administrative data from Japan using bivariate VAR models and Granger causality tests. This study is reported in accordance with the RECORD (REporting of studies Conducted using Observational Routinely-collected health Data) statement.</w:t>
      </w:r>
      <w:r>
        <w:rPr>
          <w:rFonts w:ascii="Times New Roman" w:hAnsi="Times New Roman"/>
          <w:b w:val="0"/>
          <w:i w:val="0"/>
          <w:sz w:val="20"/>
          <w:vertAlign w:val="superscript"/>
        </w:rPr>
        <w:t>20</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13</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14</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21</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22</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23</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in both directions using F-tests on lagged coefficients.</w:t>
      </w:r>
      <w:r>
        <w:rPr>
          <w:rFonts w:ascii="Times New Roman" w:hAnsi="Times New Roman"/>
          <w:b w:val="0"/>
          <w:i w:val="0"/>
          <w:sz w:val="20"/>
          <w:vertAlign w:val="superscript"/>
        </w:rPr>
        <w:t>24</w:t>
      </w:r>
      <w:r>
        <w:rPr>
          <w:rFonts w:ascii="Times New Roman" w:hAnsi="Times New Roman"/>
          <w:b w:val="0"/>
          <w:i w:val="0"/>
          <w:sz w:val="24"/>
        </w:rPr>
        <w:t xml:space="preserve"> The null hypothesis for the forward test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25</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years), detrended Pearson correlations between JMSR incidents and enrolment were computed. All analyses used Python 3.10 with statsmodels 0.14.</w:t>
      </w:r>
      <w:r>
        <w:rPr>
          <w:rFonts w:ascii="Times New Roman" w:hAnsi="Times New Roman"/>
          <w:b w:val="0"/>
          <w:i w:val="0"/>
          <w:sz w:val="20"/>
          <w:vertAlign w:val="superscript"/>
        </w:rPr>
        <w:t>26</w:t>
      </w:r>
      <w:r>
        <w:rPr>
          <w:rFonts w:ascii="Times New Roman" w:hAnsi="Times New Roman"/>
          <w:b w:val="0"/>
          <w:i w:val="0"/>
          <w:sz w:val="24"/>
        </w:rPr>
        <w:t xml:space="preserve"> Code and data are available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Between 2015 and 2025, the JMSR received 3,860 reports across the 12 specialties, with general surgery (n = 520), internal medicine (n = 479), and orthopaedic surgery (n = 310) recording the highest volumes. Medical malpractice litigation declined from 1,139 cases in 2004 to 746 in 2023 overall, although trends varied substantially by specialty (Figure 1).</w:t>
      </w:r>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shows IRFs for physician counts in response to a one-unit litigation shock for six key specialties. Obstetrics and gynaecology demonstrated a sustained negative response peaking at 2–3 years and persisting for approximately 5 years. General surgery showed a similar pattern attenuating by year 4. Facility-count IRFs are shown in Figure 3.</w:t>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study provides the first multi-specialty application of Granger causality testing to the relationship between medical safety incidents and physician workforce dynamics. Litigation statistics Granger-caused physician counts in 9 of 12 specialties and facility counts in 9 of 12, with obstetrics and gynaecology showing the strongest association (F = 46.66, P &lt; 0.001).</w:t>
      </w:r>
    </w:p>
    <w:p>
      <w:pPr>
        <w:spacing w:after="120" w:line="480" w:lineRule="auto"/>
      </w:pPr>
      <w:r>
        <w:rPr>
          <w:rFonts w:ascii="Times New Roman" w:hAnsi="Times New Roman"/>
          <w:b w:val="0"/>
          <w:i w:val="0"/>
          <w:sz w:val="24"/>
        </w:rPr>
        <w:t>The VAR/Granger framework addresses key limitations of prior ITS analyses:</w:t>
      </w:r>
      <w:r>
        <w:rPr>
          <w:rFonts w:ascii="Times New Roman" w:hAnsi="Times New Roman"/>
          <w:b w:val="0"/>
          <w:i w:val="0"/>
          <w:sz w:val="20"/>
          <w:vertAlign w:val="superscript"/>
        </w:rPr>
        <w:t>16</w:t>
      </w:r>
      <w:r>
        <w:rPr>
          <w:rFonts w:ascii="Times New Roman" w:hAnsi="Times New Roman"/>
          <w:b w:val="0"/>
          <w:i w:val="0"/>
          <w:sz w:val="24"/>
        </w:rPr>
        <w:t xml:space="preserve"> it does not require an exogenous intervention point, provides formal predictive-causality tests, controls for shared trends through stationarity testing, and generates multivariate forecasts grounded in estimated dynamics.</w:t>
      </w:r>
    </w:p>
    <w:p>
      <w:pPr>
        <w:pStyle w:val="Heading2"/>
      </w:pPr>
      <w:r>
        <w:rPr>
          <w:rFonts w:ascii="Times New Roman" w:hAnsi="Times New Roman"/>
          <w:color w:val="000000"/>
        </w:rPr>
        <w:t>Bidirectional causality and the vicious cycle</w:t>
      </w:r>
    </w:p>
    <w:p>
      <w:pPr>
        <w:spacing w:after="120" w:line="480" w:lineRule="auto"/>
      </w:pPr>
      <w:r>
        <w:rPr>
          <w:rFonts w:ascii="Times New Roman" w:hAnsi="Times New Roman"/>
          <w:b w:val="0"/>
          <w:i w:val="0"/>
          <w:sz w:val="24"/>
        </w:rPr>
        <w:t>Bidirectional Granger causality in 7 specialty–outcome combinations suggests a reinforcing cycle. Forward causality (incidents → workforce decline) reflects "incident avoidance": high-profile safety events deter specialty entry and accelerate exit.</w:t>
      </w:r>
      <w:r>
        <w:rPr>
          <w:rFonts w:ascii="Times New Roman" w:hAnsi="Times New Roman"/>
          <w:b w:val="0"/>
          <w:i w:val="0"/>
          <w:sz w:val="20"/>
          <w:vertAlign w:val="superscript"/>
        </w:rPr>
        <w:t>1,12</w:t>
      </w:r>
      <w:r>
        <w:rPr>
          <w:rFonts w:ascii="Times New Roman" w:hAnsi="Times New Roman"/>
          <w:b w:val="0"/>
          <w:i w:val="0"/>
          <w:sz w:val="24"/>
        </w:rPr>
        <w:t xml:space="preserve"> Reverse causality (workforce decline → incidents) reflects an "overwork" pathway: fewer physicians per caseload increases fatigue, reduces supervision, and raises incident risk.</w:t>
      </w:r>
      <w:r>
        <w:rPr>
          <w:rFonts w:ascii="Times New Roman" w:hAnsi="Times New Roman"/>
          <w:b w:val="0"/>
          <w:i w:val="0"/>
          <w:sz w:val="20"/>
          <w:vertAlign w:val="superscript"/>
        </w:rPr>
        <w:t>27</w:t>
      </w:r>
      <w:r>
        <w:rPr>
          <w:rFonts w:ascii="Times New Roman" w:hAnsi="Times New Roman"/>
          <w:b w:val="0"/>
          <w:i w:val="0"/>
          <w:sz w:val="24"/>
        </w:rPr>
        <w:t xml:space="preserve"> The coexistence of both pathways in obstetrics, paediatrics, and general surgery defines the specialties most vulnerable to self-perpetuating decline.</w:t>
      </w:r>
    </w:p>
    <w:p>
      <w:pPr>
        <w:pStyle w:val="Heading2"/>
      </w:pPr>
      <w:r>
        <w:rPr>
          <w:rFonts w:ascii="Times New Roman" w:hAnsi="Times New Roman"/>
          <w:color w:val="000000"/>
        </w:rPr>
        <w:t>Context: work-style reform and the "chokubi" phenomenon</w:t>
      </w:r>
    </w:p>
    <w:p>
      <w:pPr>
        <w:spacing w:after="120" w:line="480" w:lineRule="auto"/>
      </w:pPr>
      <w:r>
        <w:rPr>
          <w:rFonts w:ascii="Times New Roman" w:hAnsi="Times New Roman"/>
          <w:b w:val="0"/>
          <w:i w:val="0"/>
          <w:sz w:val="24"/>
        </w:rPr>
        <w:t>Our findings must be interpreted against the backdrop of Japan’s evolving physician labour market. The April 2024 work-style reform caps annual overtime at 960 hours (A-level) with transitional exceptions (B/C-level at 1,860 hours).</w:t>
      </w:r>
      <w:r>
        <w:rPr>
          <w:rFonts w:ascii="Times New Roman" w:hAnsi="Times New Roman"/>
          <w:b w:val="0"/>
          <w:i w:val="0"/>
          <w:sz w:val="20"/>
          <w:vertAlign w:val="superscript"/>
        </w:rPr>
        <w:t>7</w:t>
      </w:r>
      <w:r>
        <w:rPr>
          <w:rFonts w:ascii="Times New Roman" w:hAnsi="Times New Roman"/>
          <w:b w:val="0"/>
          <w:i w:val="0"/>
          <w:sz w:val="24"/>
        </w:rPr>
        <w:t xml:space="preserve"> While intended to improve physician well-being, the reform has produced several unintended consequences. Restrictions on moonlighting ("gaikin")—historically an important income supplement for hospital-based physicians—have reduced the financial attractiveness of demanding specialties. Moreover, the phenomenon of "deemed self-study" (minashi jiko-kenshu), whereby hours exceeding the cap are reclassified as voluntary training rather than labour, has paradoxically increased uncompensated workload for mid-career physicians while failing to improve working conditions for trainees.</w:t>
      </w:r>
      <w:r>
        <w:rPr>
          <w:rFonts w:ascii="Times New Roman" w:hAnsi="Times New Roman"/>
          <w:b w:val="0"/>
          <w:i w:val="0"/>
          <w:sz w:val="20"/>
          <w:vertAlign w:val="superscript"/>
        </w:rPr>
        <w:t>8</w:t>
      </w:r>
    </w:p>
    <w:p>
      <w:pPr>
        <w:spacing w:after="120" w:line="480" w:lineRule="auto"/>
      </w:pPr>
      <w:r>
        <w:rPr>
          <w:rFonts w:ascii="Times New Roman" w:hAnsi="Times New Roman"/>
          <w:b w:val="0"/>
          <w:i w:val="0"/>
          <w:sz w:val="24"/>
        </w:rPr>
        <w:t>Simultaneously, the "chokubi" phenomenon represents a growing pull factor. Approximately 200–300 newly registered physicians annually now enter non-insured aesthetic medicine directly after residency, bypassing specialist certification entirely.</w:t>
      </w:r>
      <w:r>
        <w:rPr>
          <w:rFonts w:ascii="Times New Roman" w:hAnsi="Times New Roman"/>
          <w:b w:val="0"/>
          <w:i w:val="0"/>
          <w:sz w:val="20"/>
          <w:vertAlign w:val="superscript"/>
        </w:rPr>
        <w:t>5,6</w:t>
      </w:r>
      <w:r>
        <w:rPr>
          <w:rFonts w:ascii="Times New Roman" w:hAnsi="Times New Roman"/>
          <w:b w:val="0"/>
          <w:i w:val="0"/>
          <w:sz w:val="24"/>
        </w:rPr>
        <w:t xml:space="preserve"> The number of physicians primarily employed in aesthetic surgery clinics tripled between 2008 and 2022, with half aged under 40.</w:t>
      </w:r>
      <w:r>
        <w:rPr>
          <w:rFonts w:ascii="Times New Roman" w:hAnsi="Times New Roman"/>
          <w:b w:val="0"/>
          <w:i w:val="0"/>
          <w:sz w:val="20"/>
          <w:vertAlign w:val="superscript"/>
        </w:rPr>
        <w:t>5</w:t>
      </w:r>
      <w:r>
        <w:rPr>
          <w:rFonts w:ascii="Times New Roman" w:hAnsi="Times New Roman"/>
          <w:b w:val="0"/>
          <w:i w:val="0"/>
          <w:sz w:val="24"/>
        </w:rPr>
        <w:t xml:space="preserve"> Entry-level salaries in aesthetic clinics (&gt;20 million JPY) far exceed those in hospital training posts (4.35 million JPY for residents), and these positions offer predictable hours without night calls or emergency duties.</w:t>
      </w:r>
    </w:p>
    <w:p>
      <w:pPr>
        <w:spacing w:after="120" w:line="480" w:lineRule="auto"/>
      </w:pPr>
      <w:r>
        <w:rPr>
          <w:rFonts w:ascii="Times New Roman" w:hAnsi="Times New Roman"/>
          <w:b w:val="0"/>
          <w:i w:val="0"/>
          <w:sz w:val="24"/>
        </w:rPr>
        <w:t>A parallel trend is the early career shift to occupational medicine (sangyoui), where corporate employment offers stable income, minimal litigation risk, and regular hours.</w:t>
      </w:r>
      <w:r>
        <w:rPr>
          <w:rFonts w:ascii="Times New Roman" w:hAnsi="Times New Roman"/>
          <w:b w:val="0"/>
          <w:i w:val="0"/>
          <w:sz w:val="20"/>
          <w:vertAlign w:val="superscript"/>
        </w:rPr>
        <w:t>9,28</w:t>
      </w:r>
      <w:r>
        <w:rPr>
          <w:rFonts w:ascii="Times New Roman" w:hAnsi="Times New Roman"/>
          <w:b w:val="0"/>
          <w:i w:val="0"/>
          <w:sz w:val="24"/>
        </w:rPr>
        <w:t xml:space="preserve"> Although occupational physicians serve an essential public health function, the low retention rate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suggests that for many, it functions as a temporary refuge from clinical demands rather than a committed career path.</w:t>
      </w:r>
    </w:p>
    <w:p>
      <w:pPr>
        <w:spacing w:after="120" w:line="480" w:lineRule="auto"/>
      </w:pPr>
      <w:r>
        <w:rPr>
          <w:rFonts w:ascii="Times New Roman" w:hAnsi="Times New Roman"/>
          <w:b w:val="0"/>
          <w:i w:val="0"/>
          <w:sz w:val="24"/>
        </w:rPr>
        <w:t>Our Granger causality results illuminate the push side of this equation: safety incidents actively drive physicians away from high-risk specialties over a 3–5 year horizon. When combined with the structural pull of non-insured sectors and the reduced financial incentives imposed by work-style reform, the result is an accelerating workforce crisis in precisely those specialties that society most needs—surgery, obstetrics, emergency medicine, and paediatrics.</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Breaking the vicious cycle requires interventions targeting both pathways. On the push side, improved post-incident support, no-fault compensation systems, and balanced media reporting could reduce the deterrent effect of safety events.</w:t>
      </w:r>
      <w:r>
        <w:rPr>
          <w:rFonts w:ascii="Times New Roman" w:hAnsi="Times New Roman"/>
          <w:b w:val="0"/>
          <w:i w:val="0"/>
          <w:sz w:val="20"/>
          <w:vertAlign w:val="superscript"/>
        </w:rPr>
        <w:t>10,29</w:t>
      </w:r>
      <w:r>
        <w:rPr>
          <w:rFonts w:ascii="Times New Roman" w:hAnsi="Times New Roman"/>
          <w:b w:val="0"/>
          <w:i w:val="0"/>
          <w:sz w:val="24"/>
        </w:rPr>
        <w:t xml:space="preserve"> On the pull side, the Ministry of Health, Labour and Welfare’s 2024 draft measures to restrict new clinic openings in physician-surplus areas may function to attenuate the outflow from essential specialties into non-insured practice. However, such regulatory approaches face constitutional challenges regarding freedom of practice and may prove insufficient without simultaneously addressing the structural remuneration gap between insured and non-insured medicine—entry-level aesthetic clinic salaries exceed hospital trainee salaries by nearly five-fold.</w:t>
      </w:r>
      <w:r>
        <w:rPr>
          <w:rFonts w:ascii="Times New Roman" w:hAnsi="Times New Roman"/>
          <w:b w:val="0"/>
          <w:i w:val="0"/>
          <w:sz w:val="20"/>
          <w:vertAlign w:val="superscript"/>
        </w:rPr>
        <w:t>5</w:t>
      </w:r>
      <w:r>
        <w:rPr>
          <w:rFonts w:ascii="Times New Roman" w:hAnsi="Times New Roman"/>
          <w:b w:val="0"/>
          <w:i w:val="0"/>
          <w:sz w:val="24"/>
        </w:rPr>
        <w:t xml:space="preserve"> The IRF results, showing 3–5 year effect duration, define a critical intervention window during which combined regulatory and incentive-based policies could be most effective.</w:t>
      </w:r>
    </w:p>
    <w:p>
      <w:pPr>
        <w:spacing w:after="120" w:line="480" w:lineRule="auto"/>
      </w:pPr>
      <w:r>
        <w:rPr>
          <w:rFonts w:ascii="Times New Roman" w:hAnsi="Times New Roman"/>
          <w:b w:val="0"/>
          <w:i w:val="0"/>
          <w:sz w:val="24"/>
        </w:rPr>
        <w:t>Workforce planning models should incorporate the temporal lag parameters estimated here. The projected decline in general surgery (−230 physicians/year) and facilities (−310/year) demands urgent policy attention, particularly given the reform-driven constraints on existing workforce capacity.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include population-level data from mandatory national registries across 12 specialties over up to 20 years, and the application of VAR/Granger methodology suited to continuously varying exposures. Limitations include the ecological study design precluding individual-level causal inference; biennial physician data requiring interpolation; limited power in the JMSR series (11 years); and unmeasured confounders including demographic shifts, the 2004 postgraduate training reform, and the direct effects of work-style reform itself (which overlaps temporally with the most recent data points).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Granger-cause reductions in specialty-specific physician supply in 9 of 12 specialties, with effects persisting for 3–5 years. Bidirectional causality in obstetrics, paediatrics, and general surgery suggests a self-reinforcing shortage–incident cycle. In the context of work-style reform and the growing migration of young physicians to non-insured sectors, these temporal dynamics pose an urgent threat to essential medical services. Integrated policy responses addressing both the push of safety incidents and the pull of alternative career paths are needed.</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Takei T. The ‘Chokubi’ phenomenon: young physicians’ exodus from state service to private medicine in Japan. QJM. 2024;117(12):843-5.</w:t>
      </w:r>
    </w:p>
    <w:p>
      <w:pPr>
        <w:spacing w:line="480" w:lineRule="auto" w:after="40"/>
      </w:pPr>
      <w:r>
        <w:rPr>
          <w:rFonts w:ascii="Times New Roman" w:hAnsi="Times New Roman"/>
          <w:sz w:val="20"/>
        </w:rPr>
        <w:t>6. Ministry of Health, Labour and Welfare. Survey of medical institutions 2023: aesthetic surgery clinics. Tokyo: MHLW; 2024. Japanese.</w:t>
      </w:r>
    </w:p>
    <w:p>
      <w:pPr>
        <w:spacing w:line="480" w:lineRule="auto" w:after="40"/>
      </w:pPr>
      <w:r>
        <w:rPr>
          <w:rFonts w:ascii="Times New Roman" w:hAnsi="Times New Roman"/>
          <w:sz w:val="20"/>
        </w:rPr>
        <w:t>7.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8. Japan Medical Association. Survey on physician work-style reform implementation status. Tokyo: JMA; 2024. Japanese.</w:t>
      </w:r>
    </w:p>
    <w:p>
      <w:pPr>
        <w:spacing w:line="480" w:lineRule="auto" w:after="40"/>
      </w:pPr>
      <w:r>
        <w:rPr>
          <w:rFonts w:ascii="Times New Roman" w:hAnsi="Times New Roman"/>
          <w:sz w:val="20"/>
        </w:rPr>
        <w:t>9. Koike S, Isse T, Kawaguchi H, et al. Retention among full-time occupational physicians in Japan. Occup Med (Lond). 2019;69(2):139-42.</w:t>
      </w:r>
    </w:p>
    <w:p>
      <w:pPr>
        <w:spacing w:line="480" w:lineRule="auto" w:after="40"/>
      </w:pPr>
      <w:r>
        <w:rPr>
          <w:rFonts w:ascii="Times New Roman" w:hAnsi="Times New Roman"/>
          <w:sz w:val="20"/>
        </w:rPr>
        <w:t>10.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11. Hiyama T, Yoshihara M, Tanaka S, et al. Defensive medicine practices among gastroenterologists in Japan. World J Gastroenterol. 2006;12(47):7671-5.</w:t>
      </w:r>
    </w:p>
    <w:p>
      <w:pPr>
        <w:spacing w:line="480" w:lineRule="auto" w:after="40"/>
      </w:pPr>
      <w:r>
        <w:rPr>
          <w:rFonts w:ascii="Times New Roman" w:hAnsi="Times New Roman"/>
          <w:sz w:val="20"/>
        </w:rPr>
        <w:t>12. Morita H. Criminal prosecution and physician supply. Int Rev Law Econ. 2018;55:1-11.</w:t>
      </w:r>
    </w:p>
    <w:p>
      <w:pPr>
        <w:spacing w:line="480" w:lineRule="auto" w:after="40"/>
      </w:pPr>
      <w:r>
        <w:rPr>
          <w:rFonts w:ascii="Times New Roman" w:hAnsi="Times New Roman"/>
          <w:sz w:val="20"/>
        </w:rPr>
        <w:t>13.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14. Supreme Court of Japan. Annual report of judicial statistics: medical malpractice litigation. Tokyo: Supreme Court; 2024. Japanese.</w:t>
      </w:r>
    </w:p>
    <w:p>
      <w:pPr>
        <w:spacing w:line="480" w:lineRule="auto" w:after="40"/>
      </w:pPr>
      <w:r>
        <w:rPr>
          <w:rFonts w:ascii="Times New Roman" w:hAnsi="Times New Roman"/>
          <w:sz w:val="20"/>
        </w:rPr>
        <w:t>15.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16. Onishi T. Impact of medical safety incidents on physician workforce and healthcare facility supply across 12 specialties in Japan: an interrupted time series analysis. Preprint. 2025.</w:t>
      </w:r>
    </w:p>
    <w:p>
      <w:pPr>
        <w:spacing w:line="480" w:lineRule="auto" w:after="40"/>
      </w:pPr>
      <w:r>
        <w:rPr>
          <w:rFonts w:ascii="Times New Roman" w:hAnsi="Times New Roman"/>
          <w:sz w:val="20"/>
        </w:rPr>
        <w:t>17. Granger CWJ. Investigating causal relations by econometric models and cross-spectral methods. Econometrica. 1969;37(3):424-38.</w:t>
      </w:r>
    </w:p>
    <w:p>
      <w:pPr>
        <w:spacing w:line="480" w:lineRule="auto" w:after="40"/>
      </w:pPr>
      <w:r>
        <w:rPr>
          <w:rFonts w:ascii="Times New Roman" w:hAnsi="Times New Roman"/>
          <w:sz w:val="20"/>
        </w:rPr>
        <w:t>18. Lütkepohl H. New Introduction to Multiple Time Series Analysis. Berlin: Springer; 2005.</w:t>
      </w:r>
    </w:p>
    <w:p>
      <w:pPr>
        <w:spacing w:line="480" w:lineRule="auto" w:after="40"/>
      </w:pPr>
      <w:r>
        <w:rPr>
          <w:rFonts w:ascii="Times New Roman" w:hAnsi="Times New Roman"/>
          <w:sz w:val="20"/>
        </w:rPr>
        <w:t>19. Toda HY, Yamamoto T. Statistical inference in vector autoregressions with possibly integrated processes. J Econom. 1995;66(1-2):225-50.</w:t>
      </w:r>
    </w:p>
    <w:p>
      <w:pPr>
        <w:spacing w:line="480" w:lineRule="auto" w:after="40"/>
      </w:pPr>
      <w:r>
        <w:rPr>
          <w:rFonts w:ascii="Times New Roman" w:hAnsi="Times New Roman"/>
          <w:sz w:val="20"/>
        </w:rPr>
        <w:t>20. Benchimol EI, Smeeth L, Guttmann A, et al. The REporting of studies Conducted using Observational Routinely-collected health Data (RECORD) statement. PLoS Med. 2015;12(10):e1001885.</w:t>
      </w:r>
    </w:p>
    <w:p>
      <w:pPr>
        <w:spacing w:line="480" w:lineRule="auto" w:after="40"/>
      </w:pPr>
      <w:r>
        <w:rPr>
          <w:rFonts w:ascii="Times New Roman" w:hAnsi="Times New Roman"/>
          <w:sz w:val="20"/>
        </w:rPr>
        <w:t>21. Ministry of Health, Labour and Welfare. Survey of physicians, dentists, and pharmacists. Tokyo: MHLW; 2024. Japanese.</w:t>
      </w:r>
    </w:p>
    <w:p>
      <w:pPr>
        <w:spacing w:line="480" w:lineRule="auto" w:after="40"/>
      </w:pPr>
      <w:r>
        <w:rPr>
          <w:rFonts w:ascii="Times New Roman" w:hAnsi="Times New Roman"/>
          <w:sz w:val="20"/>
        </w:rPr>
        <w:t>22. Ministry of Health, Labour and Welfare. Survey of medical institutions (dynamic survey). Tokyo: MHLW; 2024. Japanese.</w:t>
      </w:r>
    </w:p>
    <w:p>
      <w:pPr>
        <w:spacing w:line="480" w:lineRule="auto" w:after="40"/>
      </w:pPr>
      <w:r>
        <w:rPr>
          <w:rFonts w:ascii="Times New Roman" w:hAnsi="Times New Roman"/>
          <w:sz w:val="20"/>
        </w:rPr>
        <w:t>23. Japan Board of Medical Specialties. Specialist trainee registration statistics. Tokyo: JBMS; 2025. Japanese.</w:t>
      </w:r>
    </w:p>
    <w:p>
      <w:pPr>
        <w:spacing w:line="480" w:lineRule="auto" w:after="40"/>
      </w:pPr>
      <w:r>
        <w:rPr>
          <w:rFonts w:ascii="Times New Roman" w:hAnsi="Times New Roman"/>
          <w:sz w:val="20"/>
        </w:rPr>
        <w:t>24. Hamilton JD. Time Series Analysis. Princeton: Princeton University Press; 1994.</w:t>
      </w:r>
    </w:p>
    <w:p>
      <w:pPr>
        <w:spacing w:line="480" w:lineRule="auto" w:after="40"/>
      </w:pPr>
      <w:r>
        <w:rPr>
          <w:rFonts w:ascii="Times New Roman" w:hAnsi="Times New Roman"/>
          <w:sz w:val="20"/>
        </w:rPr>
        <w:t>25. Sims CA. Macroeconomics and reality. Econometrica. 1980;48(1):1-48.</w:t>
      </w:r>
    </w:p>
    <w:p>
      <w:pPr>
        <w:spacing w:line="480" w:lineRule="auto" w:after="40"/>
      </w:pPr>
      <w:r>
        <w:rPr>
          <w:rFonts w:ascii="Times New Roman" w:hAnsi="Times New Roman"/>
          <w:sz w:val="20"/>
        </w:rPr>
        <w:t>26. Seabold S, Perktold J. Statsmodels: econometric and statistical modeling with Python. Proc 9th Python Sci Conf. 2010:92-6.</w:t>
      </w:r>
    </w:p>
    <w:p>
      <w:pPr>
        <w:spacing w:line="480" w:lineRule="auto" w:after="40"/>
      </w:pPr>
      <w:r>
        <w:rPr>
          <w:rFonts w:ascii="Times New Roman" w:hAnsi="Times New Roman"/>
          <w:sz w:val="20"/>
        </w:rPr>
        <w:t>27.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pPr>
        <w:spacing w:line="480" w:lineRule="auto" w:after="40"/>
      </w:pPr>
      <w:r>
        <w:rPr>
          <w:rFonts w:ascii="Times New Roman" w:hAnsi="Times New Roman"/>
          <w:sz w:val="20"/>
        </w:rPr>
        <w:t>29. Currie J, MacLeod WB. First do no harm? Tort reform and birth outcomes. Q J Econ. 2008;123(2):795-830.</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