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model adjusting for state population (offset) and precipitation (VIF &gt; 5 iteratively dropped vmt_state, humidex_anom, heat_index_anom, wbgt_est_anom; RR 1.165 (1.135-1.196); cumulative RR 1.083 (1.023-1.146)).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5), and tested the heat-stress metrics individually as sensitivity analyses.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5—retained only the log-population offset and daily precipitation. Iteratively dropped variables were vmt_state, humidex_anom, heat_index_anom, wbgt_est_anom. Its same-day RR remained similar (RR 1.165 (1.135-1.196), 95% CI 1.135-1.196), but the cumulative 0-10 day RR was attenuated (RR 1.083 (1.023-1.146)).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5; dropped variables were vmt_state (VIF=323.8); humidex_anom (VIF=63.5); heat_index_anom (VIF=24.5); wbgt_est_anom (VIF=8.5).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VIF-screened row is the primary full-controls model, selected by iteratively removing added controls with VIF &gt; 5.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VIF-screened full controls</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5, retaining only the log-population offset and daily precipitation; dropped: vmt_state, humidex_anom, heat_index_anom, wbgt_est_anom), RR 1.165 (1.135-1.196), 95% CI 1.135-1.196). The cumulative 0-10 day RR in that model was attenuated (RR 1.083 (1.023-1.146)).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