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Abstract</w:t>
      </w:r>
    </w:p>
    <w:p>
      <w:pPr>
        <w:spacing w:line="480" w:lineRule="auto" w:after="120"/>
      </w:pPr>
      <w:r>
        <w:rPr>
          <w:b/>
        </w:rPr>
        <w:t xml:space="preserve">Background: </w:t>
      </w:r>
      <w:r>
        <w:t>Ambient heat is an established mortality risk factor; because driving continues in heat, fatal crashes may involve heat-related impairment or unrecorded heat illness.</w:t>
      </w:r>
    </w:p>
    <w:p>
      <w:pPr>
        <w:spacing w:line="480" w:lineRule="auto" w:after="120"/>
      </w:pPr>
      <w:r>
        <w:rPr>
          <w:b/>
        </w:rPr>
        <w:t xml:space="preserve">Objectives: </w:t>
      </w:r>
      <w:r>
        <w:t>We quantified the acute association between local heat anomalies and daily traffic-crash mortality in the US and Japan.</w:t>
      </w:r>
    </w:p>
    <w:p>
      <w:pPr>
        <w:spacing w:line="480" w:lineRule="auto" w:after="120"/>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line="480" w:lineRule="auto" w:after="120"/>
      </w:pPr>
      <w:r>
        <w:rPr>
          <w:b/>
        </w:rPr>
        <w:t xml:space="preserve">Results: </w:t>
      </w:r>
      <w:r>
        <w:t>In the USA (272,586 crash deaths), a +9°C anomaly raised same-day crash mortality, RR 1.165 (95% CI 1.135-1.196), and remained similar in a VIF-screened model adjusting for state population (offset) and precipitation (VIF &gt; 5 iteratively dropped vmt_state, humidex_anom, heat_index_anom, wbgt_est_anom; RR 1.165 (1.135-1.196); cumulative RR 1.083 (1.023-1.146)). The excess was larger for open-air users (motorcyclists RR 2.140, pedestrians RR 1.215) than vehicle occupants (RR 1.050). Net heat-attributable deaths were 528 per year (1.36%), similar to 527 recorded direct-heat deaths (ICD-10 X30); +1 to +3°C warming projected 347-1009 additional deaths per year. Japan data (11,576 deaths) were too sparse for a precise estimate.</w:t>
      </w:r>
    </w:p>
    <w:p>
      <w:pPr>
        <w:spacing w:line="480" w:lineRule="auto" w:after="120"/>
      </w:pPr>
      <w:r>
        <w:rPr>
          <w:b/>
        </w:rPr>
        <w:t xml:space="preserve">Discussion: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line="480" w:lineRule="auto" w:after="120"/>
      </w:pPr>
      <w:r>
        <w:rPr>
          <w:b/>
        </w:rPr>
        <w:t xml:space="preserve">Keywords: </w:t>
      </w:r>
      <w:r>
        <w:t>heat; traffic crash; mortality; climate change; road safety; distributed-lag model</w:t>
      </w:r>
    </w:p>
    <w:p>
      <w:pPr>
        <w:pStyle w:val="Heading1"/>
      </w:pPr>
      <w:r>
        <w:t>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vertAlign w:val="superscript"/>
        </w:rPr>
        <w:t>1–2</w:t>
      </w:r>
      <w:r>
        <w:t xml:space="preserve"> Recent syntheses also link higher ambient temperature to increased road traffic accidents and injuries.</w:t>
      </w:r>
      <w:r>
        <w:rPr>
          <w:vertAlign w:val="superscript"/>
        </w:rPr>
        <w:t>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(Fatality Analysis Reporting System [FARS], 2016-2022)</w:t>
      </w:r>
      <w:r>
        <w:rPr>
          <w:vertAlign w:val="superscript"/>
        </w:rPr>
        <w:t>5</w:t>
      </w:r>
      <w:r>
        <w:t xml:space="preserve"> and by Japanese prefecture (National Police Agency [NPA] accident open data, 2019-2024).</w:t>
      </w:r>
      <w:r>
        <w:rPr>
          <w:vertAlign w:val="superscript"/>
        </w:rPr>
        <w:t>6</w:t>
      </w:r>
      <w:r>
        <w:t xml:space="preserve"> Daily mean temperature was taken from the Global Historical Climatology Network-Daily (GHCN-Daily) stations</w:t>
      </w:r>
      <w:r>
        <w:rPr>
          <w:vertAlign w:val="superscript"/>
        </w:rPr>
        <w:t>7</w:t>
      </w:r>
      <w:r>
        <w:t xml:space="preserve"> as the mean of TMAX and TMIN, aggregated to each spatial unit from its nearest reporting stations. State-level precipitation (PRCP) and, in sensitivity analyses, daily average dew point (ADPT), relative humidity (RHAV) and average wet-bulb temperature (AWBT) were taken from the same GHCN-Daily stations and used to compute humidex, the US National Weather Service heat index (converted back to degrees Celsius) and an estimated wet-bulb globe temperature (0.7 times wet-bulb plus 0.3 times air temperature).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vertAlign w:val="superscript"/>
        </w:rPr>
        <w:t>9</w:t>
      </w:r>
      <w:r>
        <w:t xml:space="preserve"> with Monte Carlo (MC) confidence intervals (CIs). As sensitivity analyses for the US we added (i) national vehicle-miles travelled (VMT)</w:t>
      </w:r>
      <w:r>
        <w:rPr>
          <w:vertAlign w:val="superscript"/>
        </w:rPr>
        <w:t>10</w:t>
      </w:r>
      <w:r>
        <w:t xml:space="preserve"> and finished-motor-gasoline product supplied</w:t>
      </w:r>
      <w:r>
        <w:rPr>
          <w:vertAlign w:val="superscript"/>
        </w:rPr>
        <w:t>11</w:t>
      </w:r>
      <w:r>
        <w:t xml:space="preserve"> as activity proxies, and (ii) a richer control set with state annual population entered as a log offset</w:t>
      </w:r>
      <w:r>
        <w:rPr>
          <w:vertAlign w:val="superscript"/>
        </w:rPr>
        <w:t>12</w:t>
      </w:r>
      <w:r>
        <w:t>, state annual VMT</w:t>
      </w:r>
      <w:r>
        <w:rPr>
          <w:vertAlign w:val="superscript"/>
        </w:rPr>
        <w:t>13</w:t>
      </w:r>
      <w:r>
        <w:t xml:space="preserve"> and daily state precipitation, all as z-scored linear terms except the population offset, plus GHCN-derived heat-stress metrics (humidex, NOAA heat index, and an estimated wet-bulb globe temperature) expressed as anomalies relative to their day-of-year climatology. Because heat-stress metrics are functions of temperature and can be collinear with the anomaly exposure, we selected the primary full-controls model by a variance-inflation-factor (VIF) screen (iteratively dropping added controls with VIF &gt; 5), and tested the heat-stress metrics individually as sensitivity analyses. State fixed effects capture time-invariant cross-state differences in baseline risk, while the log-population offset scales expected counts within each state across years; because state annual VMT is correlated with population size, the two partly adjust for the same scale factor, so their simultaneous use is reported as a sensitivity analysis rather than the primary specification. Officially recorded direct-heat deaths (International Classification of Diseases, 10th revision [ICD-10] code X30) were obtained from CDC WONDER.</w:t>
      </w:r>
      <w:r>
        <w:rPr>
          <w:vertAlign w:val="superscript"/>
        </w:rPr>
        <w:t>14</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The +9 °C anomaly level was chosen because it lies near the upper end of the observed positive-anomaly range while remaining within the support of the estimated anomaly response (approximately -12 to +10 °C), so the estimate does not require extrapolation. The quasi-Poisson variance accounts for overdispersion but does not model residual temporal autocorrelation explicitly; the distributed-lag, seasonal, trend and day-of-week terms absorb most short-term serial correlation, but any remaining autocorrelation could affect confidence intervals (see Limitations).</w:t>
      </w:r>
    </w:p>
    <w:p>
      <w:pPr>
        <w:spacing w:after="120" w:line="480" w:lineRule="auto"/>
      </w:pPr>
      <w:r>
        <w:t>No ethics approval was required because the study used publicly available, aggregated and de-identified data with no individual patient records.</w:t>
      </w:r>
    </w:p>
    <w:p>
      <w:pPr>
        <w:spacing w:after="120" w:line="480" w:lineRule="auto"/>
      </w:pPr>
      <w:r>
        <w:t>Generative artificial-intelligence tools were used to assist with code development and manuscript drafting; the author reviewed and verified all content and takes full responsibility for the final work.</w:t>
      </w:r>
    </w:p>
    <w:p>
      <w:pPr>
        <w:pStyle w:val="Heading1"/>
      </w:pPr>
      <w:r>
        <w:t>Results</w:t>
      </w:r>
    </w:p>
    <w:p>
      <w:pPr>
        <w:spacing w:after="120" w:line="480" w:lineRule="auto"/>
      </w:pPr>
      <w:r>
        <w:t>The panels comprised 272,586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272,586</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1.135-1.196), with a cumulative lag 0-10 RR of 1.076 (95% CI 1.017-1.139).</w:t>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 Black-and-white version: line styles and marker shapes distinguish categories.</w:t>
      </w:r>
    </w:p>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 Black-and-white version: line styles and marker shapes distinguish categories.</w:t>
      </w:r>
    </w:p>
    <w:p/>
    <w:p>
      <w:pPr>
        <w:spacing w:after="120" w:line="480" w:lineRule="auto"/>
      </w:pPr>
      <w:r>
        <w:t>The lag structure showed an acute same-day excess followed by a deficit at 1-3 days, RR 0.936 (0.904-0.968), consistent with short-term displacement (harvesting) rather than a net addition of deaths (Fig. 3; Table 2). The same-day association was essentially unchanged after adjusting for national vehicle-miles travelled and gasoline supplied (RR 1.163, 95% CI 1.133-1.194; cumulative RR 1.075 (1.015-1.138)). A variance-inflation-factor (VIF) screened full-controls model—starting with state population as a log offset plus z-scored state annual VMT, daily precipitation and the three heat-stress metrics, then iteratively dropping any added control with VIF &gt; 5—retained only the log-population offset and daily precipitation. Iteratively dropped variables were vmt_state, humidex_anom, heat_index_anom, wbgt_est_anom. Its same-day RR remained similar (RR 1.165 (1.135-1.196), 95% CI 1.135-1.196), but the cumulative 0-10 day RR was attenuated (RR 1.083 (1.023-1.146)). Heat-stress metrics were tested individually because they are functions of temperature and can be collinear with the anomaly; they yielded variable same-day estimates and the heat-index model attenuated toward the null.</w:t>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 Black-and-white version: line styles and marker shapes distinguish categories.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(1.135-1.196)</w:t>
            </w:r>
          </w:p>
        </w:tc>
        <w:tc>
          <w:tcPr>
            <w:tcW w:type="dxa" w:w="2880"/>
          </w:tcPr>
          <w:p>
            <w:r>
              <w:t>0.940 (0.743-1.190)</w:t>
            </w:r>
          </w:p>
        </w:tc>
      </w:tr>
      <w:tr>
        <w:tc>
          <w:tcPr>
            <w:tcW w:type="dxa" w:w="2880"/>
          </w:tcPr>
          <w:p>
            <w:r>
              <w:t>1-3</w:t>
            </w:r>
          </w:p>
        </w:tc>
        <w:tc>
          <w:tcPr>
            <w:tcW w:type="dxa" w:w="2880"/>
          </w:tcPr>
          <w:p>
            <w:r>
              <w:t>0.936 (0.904-0.968)</w:t>
            </w:r>
          </w:p>
        </w:tc>
        <w:tc>
          <w:tcPr>
            <w:tcW w:type="dxa" w:w="2880"/>
          </w:tcPr>
          <w:p>
            <w:r>
              <w:t>1.146 (0.739-1.779)</w:t>
            </w:r>
          </w:p>
        </w:tc>
      </w:tr>
      <w:tr>
        <w:tc>
          <w:tcPr>
            <w:tcW w:type="dxa" w:w="2880"/>
          </w:tcPr>
          <w:p>
            <w:r>
              <w:t>4-10</w:t>
            </w:r>
          </w:p>
        </w:tc>
        <w:tc>
          <w:tcPr>
            <w:tcW w:type="dxa" w:w="2880"/>
          </w:tcPr>
          <w:p>
            <w:r>
              <w:t>0.987 (0.941-1.036)</w:t>
            </w:r>
          </w:p>
        </w:tc>
        <w:tc>
          <w:tcPr>
            <w:tcW w:type="dxa" w:w="2880"/>
          </w:tcPr>
          <w:p>
            <w:r>
              <w:t>0.521 (0.217-1.249)</w:t>
            </w:r>
          </w:p>
        </w:tc>
      </w:tr>
      <w:tr>
        <w:tc>
          <w:tcPr>
            <w:tcW w:type="dxa" w:w="2880"/>
          </w:tcPr>
          <w:p>
            <w:r>
              <w:t>Cumulative 0-10</w:t>
            </w:r>
          </w:p>
        </w:tc>
        <w:tc>
          <w:tcPr>
            <w:tcW w:type="dxa" w:w="2880"/>
          </w:tcPr>
          <w:p>
            <w:r>
              <w:t>1.076 (95% CI 1.017-1.139)</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(1.017-1.085), but much larger for open-air users: motorcyclists, RR 2.140 (2.000-2.290); pedestrians, RR 1.215 (1.147-1.288); and cyclists, RR 1.243 (1.038-1.490), a pattern consistent with direct bodily heat exposure and physical exertion.</w:t>
      </w:r>
      <w:r>
        <w:rPr>
          <w:vertAlign w:val="superscript"/>
        </w:rPr>
        <w:t>15</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(1.059-1.190); 25-64 y RR 1.176 (1.139-1.215); 65+ y RR 1.176 (1.113-1.242) (Table 3), giving no clear age gradient. Second, the excess was largest for crashes in the hottest part of the day (12-17 h), RR 1.217 (1.160-1.276), and weakest in the cool morning (06-11 h), RR 1.062 (1.001-1.127); the overnight band was also elevated (00-05 h), RR 1.176 (1.108-1.249), so the diurnal pattern is not a clean daytime-only gradient (Fig. 5). These subgroup analyses are hypothesis-generating: they involve multiple unadjusted comparisons and are not individual-level tests of susceptibility or mechanism.</w:t>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 This subgroup analysis is exploratory and is not adjusted for multiple comparisons. Black-and-white version: categories are distinguished by the y-axis labels.</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179,618</w:t>
            </w:r>
          </w:p>
        </w:tc>
        <w:tc>
          <w:tcPr>
            <w:tcW w:type="dxa" w:w="2880"/>
          </w:tcPr>
          <w:p>
            <w:r>
              <w:t>1.050 (1.017-1.085)</w:t>
            </w:r>
          </w:p>
        </w:tc>
      </w:tr>
      <w:tr>
        <w:tc>
          <w:tcPr>
            <w:tcW w:type="dxa" w:w="2880"/>
          </w:tcPr>
          <w:p>
            <w:r>
              <w:t>Motorcyclist</w:t>
            </w:r>
          </w:p>
        </w:tc>
        <w:tc>
          <w:tcPr>
            <w:tcW w:type="dxa" w:w="2880"/>
          </w:tcPr>
          <w:p>
            <w:r>
              <w:t>38,644</w:t>
            </w:r>
          </w:p>
        </w:tc>
        <w:tc>
          <w:tcPr>
            <w:tcW w:type="dxa" w:w="2880"/>
          </w:tcPr>
          <w:p>
            <w:r>
              <w:t>2.140 (2.000-2.290)</w:t>
            </w:r>
          </w:p>
        </w:tc>
      </w:tr>
      <w:tr>
        <w:tc>
          <w:tcPr>
            <w:tcW w:type="dxa" w:w="2880"/>
          </w:tcPr>
          <w:p>
            <w:r>
              <w:t>Pedestrian</w:t>
            </w:r>
          </w:p>
        </w:tc>
        <w:tc>
          <w:tcPr>
            <w:tcW w:type="dxa" w:w="2880"/>
          </w:tcPr>
          <w:p>
            <w:r>
              <w:t>46,429</w:t>
            </w:r>
          </w:p>
        </w:tc>
        <w:tc>
          <w:tcPr>
            <w:tcW w:type="dxa" w:w="2880"/>
          </w:tcPr>
          <w:p>
            <w:r>
              <w:t>1.215 (1.147-1.288)</w:t>
            </w:r>
          </w:p>
        </w:tc>
      </w:tr>
      <w:tr>
        <w:tc>
          <w:tcPr>
            <w:tcW w:type="dxa" w:w="2880"/>
          </w:tcPr>
          <w:p>
            <w:r>
              <w:t>Cyclist</w:t>
            </w:r>
          </w:p>
        </w:tc>
        <w:tc>
          <w:tcPr>
            <w:tcW w:type="dxa" w:w="2880"/>
          </w:tcPr>
          <w:p>
            <w:r>
              <w:t>6,382</w:t>
            </w:r>
          </w:p>
        </w:tc>
        <w:tc>
          <w:tcPr>
            <w:tcW w:type="dxa" w:w="2880"/>
          </w:tcPr>
          <w:p>
            <w:r>
              <w:t>1.243 (1.038-1.490)</w:t>
            </w:r>
          </w:p>
        </w:tc>
      </w:tr>
      <w:tr>
        <w:tc>
          <w:tcPr>
            <w:tcW w:type="dxa" w:w="2880"/>
          </w:tcPr>
          <w:p>
            <w:r>
              <w:t>Age &lt;25 y</w:t>
            </w:r>
          </w:p>
        </w:tc>
        <w:tc>
          <w:tcPr>
            <w:tcW w:type="dxa" w:w="2880"/>
          </w:tcPr>
          <w:p>
            <w:r>
              <w:t>54,404</w:t>
            </w:r>
          </w:p>
        </w:tc>
        <w:tc>
          <w:tcPr>
            <w:tcW w:type="dxa" w:w="2880"/>
          </w:tcPr>
          <w:p>
            <w:r>
              <w:t>1.123 (1.059-1.190)</w:t>
            </w:r>
          </w:p>
        </w:tc>
      </w:tr>
      <w:tr>
        <w:tc>
          <w:tcPr>
            <w:tcW w:type="dxa" w:w="2880"/>
          </w:tcPr>
          <w:p>
            <w:r>
              <w:t>Age 25-64 y</w:t>
            </w:r>
          </w:p>
        </w:tc>
        <w:tc>
          <w:tcPr>
            <w:tcW w:type="dxa" w:w="2880"/>
          </w:tcPr>
          <w:p>
            <w:r>
              <w:t>168,001</w:t>
            </w:r>
          </w:p>
        </w:tc>
        <w:tc>
          <w:tcPr>
            <w:tcW w:type="dxa" w:w="2880"/>
          </w:tcPr>
          <w:p>
            <w:r>
              <w:t>1.176 (1.139-1.215)</w:t>
            </w:r>
          </w:p>
        </w:tc>
      </w:tr>
      <w:tr>
        <w:tc>
          <w:tcPr>
            <w:tcW w:type="dxa" w:w="2880"/>
          </w:tcPr>
          <w:p>
            <w:r>
              <w:t>Age 65+ y</w:t>
            </w:r>
          </w:p>
        </w:tc>
        <w:tc>
          <w:tcPr>
            <w:tcW w:type="dxa" w:w="2880"/>
          </w:tcPr>
          <w:p>
            <w:r>
              <w:t>50,068</w:t>
            </w:r>
          </w:p>
        </w:tc>
        <w:tc>
          <w:tcPr>
            <w:tcW w:type="dxa" w:w="2880"/>
          </w:tcPr>
          <w:p>
            <w:r>
              <w:t>1.176 (1.113-1.242)</w:t>
            </w:r>
          </w:p>
        </w:tc>
      </w:tr>
    </w:tbl>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 This subgroup analysis is exploratory and is not adjusted for multiple comparisons. Black-and-white version: the 12-17 h point is filled and the others are open to highlight the peak band.</w:t>
      </w:r>
    </w:p>
    <w:p/>
    <w:p>
      <w:pPr>
        <w:spacing w:after="120" w:line="480" w:lineRule="auto"/>
      </w:pPr>
      <w:r>
        <w:t>Net heat-attributable crash deaths were 528 per year (95% CI 425-631), an attributable fraction of 1.36% (Fig. 6; Table 4). This is of the same order as the 527 officially recorded direct-heat deaths per year (ICD-10 X30, 2016-2020; Fig. 7), so a heat contribution to road deaths on the scale of recorded direct-heat mortality could go unrecorded in cause-of-death statistics.</w:t>
      </w:r>
    </w:p>
    <w:p>
      <w:pPr>
        <w:spacing w:before="280"/>
      </w:pPr>
      <w:r>
        <w:rPr>
          <w:b/>
        </w:rPr>
        <w:t xml:space="preserve">Figure 6. </w:t>
      </w:r>
      <w:r>
        <w:t>United States estimated net heat-attributable crash deaths per year, 2016-2022. Black-and-white version: line styles and marker shapes distinguish categories.</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528</w:t>
            </w:r>
          </w:p>
        </w:tc>
      </w:tr>
      <w:tr>
        <w:tc>
          <w:tcPr>
            <w:tcW w:type="dxa" w:w="4320"/>
          </w:tcPr>
          <w:p>
            <w:r>
              <w:t>Attributable fraction (%)</w:t>
            </w:r>
          </w:p>
        </w:tc>
        <w:tc>
          <w:tcPr>
            <w:tcW w:type="dxa" w:w="4320"/>
          </w:tcPr>
          <w:p>
            <w:r>
              <w:t>1.36</w:t>
            </w:r>
          </w:p>
        </w:tc>
      </w:tr>
      <w:tr>
        <w:tc>
          <w:tcPr>
            <w:tcW w:type="dxa" w:w="4320"/>
          </w:tcPr>
          <w:p>
            <w:r>
              <w:t>Official direct-heat deaths / year (X30, 2016-2020)</w:t>
            </w:r>
          </w:p>
        </w:tc>
        <w:tc>
          <w:tcPr>
            <w:tcW w:type="dxa" w:w="4320"/>
          </w:tcPr>
          <w:p>
            <w:r>
              <w:t>527</w:t>
            </w:r>
          </w:p>
        </w:tc>
      </w:tr>
    </w:tbl>
    <w:p/>
    <w:p>
      <w:pPr>
        <w:spacing w:before="280"/>
      </w:pPr>
      <w:r>
        <w:rPr>
          <w:b/>
        </w:rPr>
        <w:t xml:space="preserve">Figure 7. </w:t>
      </w:r>
      <w:r>
        <w:t>United States comparison of estimated net heat-attributable crash deaths per year with officially recorded direct-heat deaths (ICD-10 X30) from CDC WONDER. Black-and-white version: the right-hand (estimate) bar is hatched to distinguish it from the left-hand (official) bar.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16</w:t>
      </w:r>
      <w:r>
        <w:t xml:space="preserve"> A uniform +1 °C shift projected 347 additional US crash deaths per year (95% CI 257-436), rising to 1009 (667-1384) at +3 °C (Fig. 8; Table 5). These are scenario projections, not observed quantities, and assume the anomaly response is stable under a warmer mean climate.</w:t>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 Black-and-white version: line styles and marker shapes distinguish categories.</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347 (257-436)</w:t>
            </w:r>
          </w:p>
        </w:tc>
      </w:tr>
      <w:tr>
        <w:tc>
          <w:tcPr>
            <w:tcW w:type="dxa" w:w="4320"/>
          </w:tcPr>
          <w:p>
            <w:r>
              <w:t>+2°C</w:t>
            </w:r>
          </w:p>
        </w:tc>
        <w:tc>
          <w:tcPr>
            <w:tcW w:type="dxa" w:w="4320"/>
          </w:tcPr>
          <w:p>
            <w:r>
              <w:t>678 (474-881)</w:t>
            </w:r>
          </w:p>
        </w:tc>
      </w:tr>
      <w:tr>
        <w:tc>
          <w:tcPr>
            <w:tcW w:type="dxa" w:w="4320"/>
          </w:tcPr>
          <w:p>
            <w:r>
              <w:t>+3°C</w:t>
            </w:r>
          </w:p>
        </w:tc>
        <w:tc>
          <w:tcPr>
            <w:tcW w:type="dxa" w:w="4320"/>
          </w:tcPr>
          <w:p>
            <w:r>
              <w:t>1009 (667-1384)</w:t>
            </w:r>
          </w:p>
        </w:tc>
      </w:tr>
    </w:tbl>
    <w:p/>
    <w:p>
      <w:pPr>
        <w:spacing w:after="120" w:line="480" w:lineRule="auto"/>
      </w:pPr>
      <w:r>
        <w:t>Sensitivity to activity, precipitation and heat-stress controls is summarized in Table 6. All added continuous terms were z-scored linear terms; state population entered as a log offset, and heat-stress metrics were expressed as anomalies relative to their day-of-year climatology. The primary full-controls model was selected by iteratively removing added controls with VIF &gt; 5; dropped variables were vmt_state (VIF=323.8); humidex_anom (VIF=63.5); heat_index_anom (VIF=24.5); wbgt_est_anom (VIF=8.5). Heat-stress metrics showed high collinearity with the temperature anomaly when entered individually, so they are reported separately as sensitivity analyses rather than being included simultaneously.</w:t>
      </w:r>
    </w:p>
    <w:p>
      <w:pPr>
        <w:spacing w:before="280"/>
      </w:pPr>
      <w:r>
        <w:rPr>
          <w:b/>
        </w:rPr>
        <w:t xml:space="preserve">Table 6. </w:t>
      </w:r>
      <w:r>
        <w:t>United States sensitivity of the +9 °C anomaly association to activity, precipitation and heat-stress controls. All added continuous controls were z-scored; population entered as a log offset; heat-stress metrics were anomaly-derived. The VIF-screened row is the primary full-controls model, selected by iteratively removing added controls with VIF &gt; 5. Heat-stress metrics were tested individually because they are functions of temperature and can be collinear with the anomaly.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Same-day RR (95% CI)</w:t>
            </w:r>
          </w:p>
        </w:tc>
        <w:tc>
          <w:tcPr>
            <w:tcW w:type="dxa" w:w="2160"/>
          </w:tcPr>
          <w:p>
            <w:r>
              <w:rPr>
                <w:b/>
              </w:rPr>
              <w:t>Cumulative RR (95% CI)</w:t>
            </w:r>
          </w:p>
        </w:tc>
        <w:tc>
          <w:tcPr>
            <w:tcW w:type="dxa" w:w="2160"/>
          </w:tcPr>
          <w:p>
            <w:r>
              <w:rPr>
                <w:b/>
              </w:rPr>
              <w:t>Max control VIF</w:t>
            </w:r>
          </w:p>
        </w:tc>
      </w:tr>
      <w:tr>
        <w:tc>
          <w:tcPr>
            <w:tcW w:type="dxa" w:w="2160"/>
          </w:tcPr>
          <w:p>
            <w:r>
              <w:t>National VMT + motor gasoline</w:t>
            </w:r>
          </w:p>
        </w:tc>
        <w:tc>
          <w:tcPr>
            <w:tcW w:type="dxa" w:w="2160"/>
          </w:tcPr>
          <w:p>
            <w:r>
              <w:t>1.163 (1.133-1.194)</w:t>
            </w:r>
          </w:p>
        </w:tc>
        <w:tc>
          <w:tcPr>
            <w:tcW w:type="dxa" w:w="2160"/>
          </w:tcPr>
          <w:p>
            <w:r>
              <w:t>1.075 (1.015-1.138)</w:t>
            </w:r>
          </w:p>
        </w:tc>
        <w:tc>
          <w:tcPr>
            <w:tcW w:type="dxa" w:w="2160"/>
          </w:tcPr>
          <w:p>
            <w:r>
              <w:t>5.3</w:t>
            </w:r>
          </w:p>
        </w:tc>
      </w:tr>
      <w:tr>
        <w:tc>
          <w:tcPr>
            <w:tcW w:type="dxa" w:w="2160"/>
          </w:tcPr>
          <w:p>
            <w:r>
              <w:t>State population offset</w:t>
            </w:r>
          </w:p>
        </w:tc>
        <w:tc>
          <w:tcPr>
            <w:tcW w:type="dxa" w:w="2160"/>
          </w:tcPr>
          <w:p>
            <w:r>
              <w:t>1.165 (1.135-1.196)</w:t>
            </w:r>
          </w:p>
        </w:tc>
        <w:tc>
          <w:tcPr>
            <w:tcW w:type="dxa" w:w="2160"/>
          </w:tcPr>
          <w:p>
            <w:r>
              <w:t>1.075 (1.015-1.138)</w:t>
            </w:r>
          </w:p>
        </w:tc>
        <w:tc>
          <w:tcPr>
            <w:tcW w:type="dxa" w:w="2160"/>
          </w:tcPr>
          <w:p>
            <w:r>
              <w:t>-</w:t>
            </w:r>
          </w:p>
        </w:tc>
      </w:tr>
      <w:tr>
        <w:tc>
          <w:tcPr>
            <w:tcW w:type="dxa" w:w="2160"/>
          </w:tcPr>
          <w:p>
            <w:r>
              <w:t>+ state annual VMT</w:t>
            </w:r>
          </w:p>
        </w:tc>
        <w:tc>
          <w:tcPr>
            <w:tcW w:type="dxa" w:w="2160"/>
          </w:tcPr>
          <w:p>
            <w:r>
              <w:t>1.165 (1.135-1.196)</w:t>
            </w:r>
          </w:p>
        </w:tc>
        <w:tc>
          <w:tcPr>
            <w:tcW w:type="dxa" w:w="2160"/>
          </w:tcPr>
          <w:p>
            <w:r>
              <w:t>1.073 (1.014-1.136)</w:t>
            </w:r>
          </w:p>
        </w:tc>
        <w:tc>
          <w:tcPr>
            <w:tcW w:type="dxa" w:w="2160"/>
          </w:tcPr>
          <w:p>
            <w:r>
              <w:t>323.8</w:t>
            </w:r>
          </w:p>
        </w:tc>
      </w:tr>
      <w:tr>
        <w:tc>
          <w:tcPr>
            <w:tcW w:type="dxa" w:w="2160"/>
          </w:tcPr>
          <w:p>
            <w:r>
              <w:t>+ state VMT + precipitation</w:t>
            </w:r>
          </w:p>
        </w:tc>
        <w:tc>
          <w:tcPr>
            <w:tcW w:type="dxa" w:w="2160"/>
          </w:tcPr>
          <w:p>
            <w:r>
              <w:t>1.165 (1.135-1.196)</w:t>
            </w:r>
          </w:p>
        </w:tc>
        <w:tc>
          <w:tcPr>
            <w:tcW w:type="dxa" w:w="2160"/>
          </w:tcPr>
          <w:p>
            <w:r>
              <w:t>1.082 (1.022-1.145)</w:t>
            </w:r>
          </w:p>
        </w:tc>
        <w:tc>
          <w:tcPr>
            <w:tcW w:type="dxa" w:w="2160"/>
          </w:tcPr>
          <w:p>
            <w:r>
              <w:t>323.8</w:t>
            </w:r>
          </w:p>
        </w:tc>
      </w:tr>
      <w:tr>
        <w:tc>
          <w:tcPr>
            <w:tcW w:type="dxa" w:w="2160"/>
          </w:tcPr>
          <w:p>
            <w:r>
              <w:t>VIF-screened full controls</w:t>
            </w:r>
          </w:p>
        </w:tc>
        <w:tc>
          <w:tcPr>
            <w:tcW w:type="dxa" w:w="2160"/>
          </w:tcPr>
          <w:p>
            <w:r>
              <w:t>1.165 (1.135-1.196)</w:t>
            </w:r>
          </w:p>
        </w:tc>
        <w:tc>
          <w:tcPr>
            <w:tcW w:type="dxa" w:w="2160"/>
          </w:tcPr>
          <w:p>
            <w:r>
              <w:t>1.083 (1.023-1.146)</w:t>
            </w:r>
          </w:p>
        </w:tc>
        <w:tc>
          <w:tcPr>
            <w:tcW w:type="dxa" w:w="2160"/>
          </w:tcPr>
          <w:p>
            <w:r>
              <w:t>1.1</w:t>
            </w:r>
          </w:p>
        </w:tc>
      </w:tr>
      <w:tr>
        <w:tc>
          <w:tcPr>
            <w:tcW w:type="dxa" w:w="2160"/>
          </w:tcPr>
          <w:p>
            <w:r>
              <w:t>+ humidex anomaly</w:t>
            </w:r>
          </w:p>
        </w:tc>
        <w:tc>
          <w:tcPr>
            <w:tcW w:type="dxa" w:w="2160"/>
          </w:tcPr>
          <w:p>
            <w:r>
              <w:t>1.176 (1.128-1.226)</w:t>
            </w:r>
          </w:p>
        </w:tc>
        <w:tc>
          <w:tcPr>
            <w:tcW w:type="dxa" w:w="2160"/>
          </w:tcPr>
          <w:p>
            <w:r>
              <w:t>1.089 (1.023-1.160)</w:t>
            </w:r>
          </w:p>
        </w:tc>
        <w:tc>
          <w:tcPr>
            <w:tcW w:type="dxa" w:w="2160"/>
          </w:tcPr>
          <w:p>
            <w:r>
              <w:t>323.8</w:t>
            </w:r>
          </w:p>
        </w:tc>
      </w:tr>
      <w:tr>
        <w:tc>
          <w:tcPr>
            <w:tcW w:type="dxa" w:w="2160"/>
          </w:tcPr>
          <w:p>
            <w:r>
              <w:t>+ heat-index anomaly</w:t>
            </w:r>
          </w:p>
        </w:tc>
        <w:tc>
          <w:tcPr>
            <w:tcW w:type="dxa" w:w="2160"/>
          </w:tcPr>
          <w:p>
            <w:r>
              <w:t>1.049 (1.002-1.097)</w:t>
            </w:r>
          </w:p>
        </w:tc>
        <w:tc>
          <w:tcPr>
            <w:tcW w:type="dxa" w:w="2160"/>
          </w:tcPr>
          <w:p>
            <w:r>
              <w:t>0.989 (0.927-1.055)</w:t>
            </w:r>
          </w:p>
        </w:tc>
        <w:tc>
          <w:tcPr>
            <w:tcW w:type="dxa" w:w="2160"/>
          </w:tcPr>
          <w:p>
            <w:r>
              <w:t>323.8</w:t>
            </w:r>
          </w:p>
        </w:tc>
      </w:tr>
      <w:tr>
        <w:tc>
          <w:tcPr>
            <w:tcW w:type="dxa" w:w="2160"/>
          </w:tcPr>
          <w:p>
            <w:r>
              <w:t>+ estimated WBGT anomaly</w:t>
            </w:r>
          </w:p>
        </w:tc>
        <w:tc>
          <w:tcPr>
            <w:tcW w:type="dxa" w:w="2160"/>
          </w:tcPr>
          <w:p>
            <w:r>
              <w:t>1.168 (1.120-1.217)</w:t>
            </w:r>
          </w:p>
        </w:tc>
        <w:tc>
          <w:tcPr>
            <w:tcW w:type="dxa" w:w="2160"/>
          </w:tcPr>
          <w:p>
            <w:r>
              <w:t>1.083 (1.017-1.154)</w:t>
            </w:r>
          </w:p>
        </w:tc>
        <w:tc>
          <w:tcPr>
            <w:tcW w:type="dxa" w:w="2160"/>
          </w:tcPr>
          <w:p>
            <w:r>
              <w:t>323.8</w:t>
            </w:r>
          </w:p>
        </w:tc>
      </w:tr>
    </w:tbl>
    <w:p/>
    <w:p>
      <w:pPr>
        <w:pStyle w:val="Heading2"/>
      </w:pPr>
      <w:r>
        <w:t>Exploratory external validation: Japan comparison</w:t>
      </w:r>
    </w:p>
    <w:p>
      <w:pPr>
        <w:spacing w:after="120" w:line="480" w:lineRule="auto"/>
      </w:pPr>
      <w:r>
        <w:t>We did not pool the Japanese estimates with the US estimates; the comparison is presented only as an exploratory external validation. 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Pr>
        <w:spacing w:before="280"/>
      </w:pPr>
      <w:r>
        <w:rPr>
          <w:b/>
        </w:rPr>
        <w:t xml:space="preserve">Figure 9. </w:t>
      </w:r>
      <w:r>
        <w:t>Japan temperature-anomaly exposure-response (2019-2024). The estimate is imprecise: the confidence band is wide and includes the null throughout. Black-and-white version: line styles and marker shapes distinguish categories.</w:t>
      </w:r>
    </w:p>
    <w:p/>
    <w:p>
      <w:pPr>
        <w:spacing w:before="280"/>
      </w:pPr>
      <w:r>
        <w:rPr>
          <w:b/>
        </w:rPr>
        <w:t xml:space="preserve">Figure 10. </w:t>
      </w:r>
      <w:r>
        <w:t>Same-day rate ratio of traffic-crash deaths for a +9 °C anomaly, United States versus Japan. The US shows a precise acute effect; the Japanese estimate is underpowered. This comparison is exploratory and is not adjusted for multiple comparisons. Black-and-white version: US (square) and Japan (circle) estimates use different marker shapes.</w:t>
      </w:r>
    </w:p>
    <w:p/>
    <w:p>
      <w:pPr>
        <w:pStyle w:val="Heading1"/>
      </w:pPr>
      <w:r>
        <w:t>Discussion</w:t>
      </w:r>
    </w:p>
    <w:p>
      <w:pPr>
        <w:spacing w:after="120" w:line="480" w:lineRule="auto"/>
      </w:pPr>
      <w:r>
        <w:t>A +9 °C temperature anomaly was associated with a same-day rate ratio of 1.165 (95% CI 1.135-1.196) for US traffic-crash deaths, and the net annual heat-attributable burden was 528 deaths (95% CI 425-631), similar to the 527 officially recorded direct-heat deaths per year. This acute, same-day excess was not explained by aggregate driving activity, and it remained in the VIF-screened full-controls model (added controls iteratively removed when VIF &gt; 5, retaining only the log-population offset and daily precipitation; dropped: vmt_state, humidex_anom, heat_index_anom, wbgt_est_anom), RR 1.165 (1.135-1.196), 95% CI 1.135-1.196). The cumulative 0-10 day RR in that model was attenuated (RR 1.083 (1.023-1.146)).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3–4</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Shared e-scooter and e-bike fleets and public bikeshare systems should also be considered: batteries, motors and tyres are heat-stressed, increasing the risk of sudden power loss or brake failure, while docking and charging points without shade expose users and maintenance staff to thermal load during check-out, parking and battery swap. Service operators could temporarily reduce or suspend rentals above high-temperature thresholds, relocate or shade docking and charging infrastructure, and integrate heat warnings into app-based routing. Linking shared-mobility heat alerts with public transit and cooled shelter maps would help preserve access for users who depend on these modes, particularly in low-income neighbourhoods where private air-conditioned transport is less available.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neither FARS nor NPA records post-mortem heat diagnosis. Second, exposure is measured at the state/prefecture level from the nearest GHCN-Daily station; this misclassifies individual exposure and does not capture sub-unit variation such as urban heat islands. We therefore added state population as an offset and evaluated GHCN-derived humidity, heat-index and estimated wet-bulb globe temperature metrics in sensitivity models, but these station-based heat-stress measures still do not measure personal exposure. Third, activity adjustment used national monthly proxies for the main model and annual state VMT for the sensitivity model; neither is daily, mode-specific or shared-mobility-specific, and daily state-level or mode-specific activity could alter the road-user and time-of-day gradients. In particular, publicly available daily national counts of pedestrian, bicycle and shared-mobility trips are not available, so we cannot directly separate a weather-related activity shift from a physiological or mechanical heat effect for those modes. Fourth, the Japanese analysis is an exploratory external validation only; its shorter series, far smaller death counts and sparser GHCN-Daily coverage preclude a precise estimate, and we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Seventh, the quasi-Poisson model accounts for overdispersion but does not include an explicit autoregressive error term; although the distributed-lag, seasonal, trend and day-of-week controls absorb much short-term temporal autocorrelation, unmodelled residual serial correlation could affect confidence intervals.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Acknowledgments</w:t>
      </w:r>
    </w:p>
    <w:p>
      <w:pPr>
        <w:spacing w:after="120"/>
      </w:pPr>
      <w:r>
        <w:t>None declared.</w:t>
      </w:r>
    </w:p>
    <w:p>
      <w:pPr>
        <w:pStyle w:val="Heading1"/>
      </w:pPr>
      <w:r>
        <w:t>Author Contributions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AI Disclosure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US Census Bureau Population Estimates Program, FHWA Highway Statistics VM-2,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ehp for the EHP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1. Gasparrini A, Guo Y, Hashizume M, Lavigne E, Zanobetti A, Schwartz J, et al. 2015. Mortality risk attributable to high and low ambient temperature: a multicountry observational study. Lancet 386(9991):369-375, PMID: 26003380, 10.1016/S0140-6736(14)62114-0.</w:t>
      </w:r>
    </w:p>
    <w:p>
      <w:pPr>
        <w:spacing w:after="80"/>
      </w:pPr>
      <w:r>
        <w:t>2. Basu R. 2009. High ambient temperature and mortality: a review of epidemiologic studies from 2001 to 2008. Environ Health 8:40, PMID: 19758453, 10.1186/1476-069X-8-40.</w:t>
      </w:r>
    </w:p>
    <w:p>
      <w:pPr>
        <w:spacing w:after="80"/>
      </w:pPr>
      <w:r>
        <w:t>3. Liang M, Min M, Guo X, Song Q, Wang H, Li N, et al. 2022. The relationship between ambient temperatures and road traffic injuries: a systematic review and meta-analysis. Environ Sci Pollut Res 29(33):50647-50660, PMID: 35235122, 10.1007/s11356-022-19437-y.</w:t>
      </w:r>
    </w:p>
    <w:p>
      <w:pPr>
        <w:spacing w:after="80"/>
      </w:pPr>
      <w:r>
        <w:t>4. Liang M, Zhao D, Wu Y, Ye P, Wang Y, Yao Z, et al. 2021. Short-term effects of ambient temperature and road traffic accident injuries in Dalian, Northern China: A distributed lag non-linear analysis. Accid Anal Prev 153:106057, PMID: 33647596, 10.1016/j.aap.2021.106057.</w:t>
      </w:r>
    </w:p>
    <w:p>
      <w:pPr>
        <w:spacing w:after="80"/>
      </w:pPr>
      <w:r>
        <w:t>5. National Highway Traffic Safety Administration. n.d. Fatality Analysis Reporting System (FARS). https://www.nhtsa.gov/research-data/fatality-analysis-reporting-system-fars [accessed 22 August 2026].</w:t>
      </w:r>
    </w:p>
    <w:p>
      <w:pPr>
        <w:spacing w:after="80"/>
      </w:pPr>
      <w:r>
        <w:t>6. National Police Agency of Japan. n.d. Traffic accident statistics open data. https://www.npa.go.jp/publications/statistics/koutsuu/opendata/ [accessed 22 August 2026].</w:t>
      </w:r>
    </w:p>
    <w:p>
      <w:pPr>
        <w:spacing w:after="80"/>
      </w:pPr>
      <w:r>
        <w:t>7. Menne MJ, Durre I, Vose RS, Gleason BE, Houston TG. 2012. An overview of the Global Historical Climatology Network-Daily database. J Atmos Ocean Technol 29(7):897-910, 10.1175/JTECH-D-11-00103.1.</w:t>
      </w:r>
    </w:p>
    <w:p>
      <w:pPr>
        <w:spacing w:after="80"/>
      </w:pPr>
      <w:r>
        <w:t>8. Gasparrini A, Armstrong B, Kenward MG. 2010. Distributed lag non-linear models. Stat Med 29(21):2224-2234, PMID: 20812303, 10.1002/sim.3940.</w:t>
      </w:r>
    </w:p>
    <w:p>
      <w:pPr>
        <w:spacing w:after="80"/>
      </w:pPr>
      <w:r>
        <w:t>9. Gasparrini A, Leone M. 2014. Attributable risk from distributed lag models. BMC Med Res Methodol 14:55, PMID: 24758509, 10.1186/1471-2288-14-55.</w:t>
      </w:r>
    </w:p>
    <w:p>
      <w:pPr>
        <w:spacing w:after="80"/>
      </w:pPr>
      <w:r>
        <w:t>10. Federal Highway Administration. n.d. Traffic Volume Trends. https://www.fhwa.dot.gov/policyinformation/travel_monitoring/tvt.cfm [accessed 22 August 2026].</w:t>
      </w:r>
    </w:p>
    <w:p>
      <w:pPr>
        <w:spacing w:after="80"/>
      </w:pPr>
      <w:r>
        <w:t>11. US Energy Information Administration. n.d. Weekly finished motor gasoline product supplied (PET.WGFUPUS2.W). https://www.eia.gov/ [accessed 22 August 2026].</w:t>
      </w:r>
    </w:p>
    <w:p>
      <w:pPr>
        <w:spacing w:after="80"/>
      </w:pPr>
      <w:r>
        <w:t>12. US Census Bureau. n.d. Population Estimates Program. Annual state population estimates. https://www.census.gov/programs-surveys/popest.html [accessed 22 August 2026].</w:t>
      </w:r>
    </w:p>
    <w:p>
      <w:pPr>
        <w:spacing w:after="80"/>
      </w:pPr>
      <w:r>
        <w:t>13. Federal Highway Administration. n.d. Highway Statistics VM-2: Annual state vehicle-miles travelled. https://www.fhwa.dot.gov/policyinformation/statistics.cfm [accessed 22 August 2026].</w:t>
      </w:r>
    </w:p>
    <w:p>
      <w:pPr>
        <w:spacing w:after="80"/>
      </w:pPr>
      <w:r>
        <w:t>14. Centers for Disease Control and Prevention. n.d. CDC WONDER Underlying Cause of Death database. https://wonder.cdc.gov/ [accessed 22 August 2026].</w:t>
      </w:r>
    </w:p>
    <w:p>
      <w:pPr>
        <w:spacing w:after="80"/>
      </w:pPr>
      <w:r>
        <w:t>15. Daanen HAM, van de Vliert E, Huang X. 2003. Driving performance in cold, warm, and thermoneutral environments. Appl Ergon 34(6):597-602, PMID: 14559420, 10.1016/S0003-6870(03)00055-3.</w:t>
      </w:r>
    </w:p>
    <w:p>
      <w:pPr>
        <w:spacing w:after="80"/>
      </w:pPr>
      <w:r>
        <w:t>16. IPCC. 2021. Climate Change 2021: The Physical Science Basis. Contribution of Working Group I to the Sixth Assessment Report of the Intergovernmental Panel on Climate Change. Cambridge: Cambridge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