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272,586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°C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(1.135-1.196)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0.936 (0.904-0.968)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0.987 (0.941-1.036)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1.076 (95% CI 1.017-1.139)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°C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179,618</w:t>
            </w:r>
          </w:p>
        </w:tc>
        <w:tc>
          <w:tcPr>
            <w:tcW w:type="dxa" w:w="2880"/>
          </w:tcPr>
          <w:p>
            <w:r>
              <w:t>1.050 (1.017-1.085)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38,644</w:t>
            </w:r>
          </w:p>
        </w:tc>
        <w:tc>
          <w:tcPr>
            <w:tcW w:type="dxa" w:w="2880"/>
          </w:tcPr>
          <w:p>
            <w:r>
              <w:t>2.140 (2.000-2.290)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46,429</w:t>
            </w:r>
          </w:p>
        </w:tc>
        <w:tc>
          <w:tcPr>
            <w:tcW w:type="dxa" w:w="2880"/>
          </w:tcPr>
          <w:p>
            <w:r>
              <w:t>1.215 (1.147-1.288)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6,382</w:t>
            </w:r>
          </w:p>
        </w:tc>
        <w:tc>
          <w:tcPr>
            <w:tcW w:type="dxa" w:w="2880"/>
          </w:tcPr>
          <w:p>
            <w:r>
              <w:t>1.243 (1.038-1.490)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54,404</w:t>
            </w:r>
          </w:p>
        </w:tc>
        <w:tc>
          <w:tcPr>
            <w:tcW w:type="dxa" w:w="2880"/>
          </w:tcPr>
          <w:p>
            <w:r>
              <w:t>1.123 (1.059-1.190)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168,001</w:t>
            </w:r>
          </w:p>
        </w:tc>
        <w:tc>
          <w:tcPr>
            <w:tcW w:type="dxa" w:w="2880"/>
          </w:tcPr>
          <w:p>
            <w:r>
              <w:t>1.176 (1.139-1.215)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50,068</w:t>
            </w:r>
          </w:p>
        </w:tc>
        <w:tc>
          <w:tcPr>
            <w:tcW w:type="dxa" w:w="2880"/>
          </w:tcPr>
          <w:p>
            <w:r>
              <w:t>1.176 (1.113-1.242)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528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347 (257-436)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678 (474-881)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1009 (667-1384)</w:t>
            </w:r>
          </w:p>
        </w:tc>
      </w:tr>
    </w:tbl>
    <w:p/>
    <w:p>
      <w:pPr>
        <w:spacing w:before="280"/>
      </w:pPr>
      <w:r>
        <w:rPr>
          <w:b/>
        </w:rPr>
        <w:t xml:space="preserve">Table 6. </w:t>
      </w:r>
      <w:r>
        <w:t>United States sensitivity of the +9 °C anomaly association to activity, precipitation and heat-stress controls. All added continuous controls were z-scored; population entered as a log offset; heat-stress metrics were anomaly-derived. The VIF-screened row is the primary full-controls model, selected by iteratively removing added controls with VIF &gt; 5. Heat-stress metrics were tested individually because they are functions of temperature and can be collinear with the anomaly.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Same-day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 control VIF</w:t>
            </w:r>
          </w:p>
        </w:tc>
      </w:tr>
      <w:tr>
        <w:tc>
          <w:tcPr>
            <w:tcW w:type="dxa" w:w="2160"/>
          </w:tcPr>
          <w:p>
            <w:r>
              <w:t>National VMT + motor gasoline</w:t>
            </w:r>
          </w:p>
        </w:tc>
        <w:tc>
          <w:tcPr>
            <w:tcW w:type="dxa" w:w="2160"/>
          </w:tcPr>
          <w:p>
            <w:r>
              <w:t>1.163 (1.133-1.194)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  <w:tr>
        <w:tc>
          <w:tcPr>
            <w:tcW w:type="dxa" w:w="2160"/>
          </w:tcPr>
          <w:p>
            <w:r>
              <w:t>State population offset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+ state annual VMT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1.073 (1.014-1.136)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state VMT + precipitation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1.082 (1.022-1.145)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VIF-screened full controls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1.083 (1.023-1.146)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2160"/>
          </w:tcPr>
          <w:p>
            <w:r>
              <w:t>+ humidex anomaly</w:t>
            </w:r>
          </w:p>
        </w:tc>
        <w:tc>
          <w:tcPr>
            <w:tcW w:type="dxa" w:w="2160"/>
          </w:tcPr>
          <w:p>
            <w:r>
              <w:t>1.176 (1.128-1.226)</w:t>
            </w:r>
          </w:p>
        </w:tc>
        <w:tc>
          <w:tcPr>
            <w:tcW w:type="dxa" w:w="2160"/>
          </w:tcPr>
          <w:p>
            <w:r>
              <w:t>1.089 (1.023-1.160)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heat-index anomaly</w:t>
            </w:r>
          </w:p>
        </w:tc>
        <w:tc>
          <w:tcPr>
            <w:tcW w:type="dxa" w:w="2160"/>
          </w:tcPr>
          <w:p>
            <w:r>
              <w:t>1.049 (1.002-1.097)</w:t>
            </w:r>
          </w:p>
        </w:tc>
        <w:tc>
          <w:tcPr>
            <w:tcW w:type="dxa" w:w="2160"/>
          </w:tcPr>
          <w:p>
            <w:r>
              <w:t>0.989 (0.927-1.055)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estimated WBGT anomaly</w:t>
            </w:r>
          </w:p>
        </w:tc>
        <w:tc>
          <w:tcPr>
            <w:tcW w:type="dxa" w:w="2160"/>
          </w:tcPr>
          <w:p>
            <w:r>
              <w:t>1.168 (1.120-1.217)</w:t>
            </w:r>
          </w:p>
        </w:tc>
        <w:tc>
          <w:tcPr>
            <w:tcW w:type="dxa" w:w="2160"/>
          </w:tcPr>
          <w:p>
            <w:r>
              <w:t>1.083 (1.017-1.154)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