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1. M0-M4: IN-SAMPLE AND OUT-OF-SAMPLE PERFORMANCE ACROSS 39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(%)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Constant lag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*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Time-varying lag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(t) =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 xml:space="preserve">₀ + </w:t>
            </w:r>
            <w:r>
              <w:rPr>
                <w:rFonts w:ascii="Times New Roman" w:hAnsi="Times New Roman" w:eastAsia="MS Mincho"/>
                <w:b w:val="0"/>
                <w:i/>
                <w:sz w:val="20"/>
              </w:rPr>
              <w:t>μ</w:t>
            </w:r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₁(t − t₀)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+ intangible Kᵢ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tempo+intangible (GDP &amp; CWON)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