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480" w:lineRule="auto"/>
        <w:jc w:val="center"/>
      </w:pPr>
      <w:r>
        <w:rPr>
          <w:rFonts w:ascii="Times New Roman" w:hAnsi="Times New Roman" w:eastAsia="MS Mincho"/>
          <w:b/>
          <w:i w:val="0"/>
          <w:sz w:val="28"/>
        </w:rPr>
        <w:t>TABLE 4. EXTENDED OOS METRICS: DIRECTION ACCURACY AND CWON TRAJECTORY RMSE.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Model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Dir. acc. median (%)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Dir. acc. mean (%)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CWON RMSE median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CWON RMSE mean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100.0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95.4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0.0085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100.0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95.9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0.0077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100.0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95.9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0.0072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100.0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95.4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0.0085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100.0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95.4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0.0085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