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Summary</w:t>
      </w:r>
    </w:p>
    <w:p>
      <w:pPr>
        <w:spacing w:after="120" w:line="480" w:lineRule="auto"/>
      </w:pPr>
      <w:r>
        <w:rPr>
          <w:b/>
        </w:rPr>
        <w:t xml:space="preserve">Background </w:t>
      </w:r>
      <w:r>
        <w:t>Ambient heat is an established mortality risk factor; because driving continues in heat, fatal crashes may involve heat-related impairment or unrecorded heat illness. We quantified the acute association between local heat anomalies and daily traffic-crash mortality in the US and Japan.</w:t>
      </w:r>
    </w:p>
    <w:p>
      <w:pPr>
        <w:spacing w:after="120" w:line="480" w:lineRule="auto"/>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after="120" w:line="480" w:lineRule="auto"/>
      </w:pPr>
      <w:r>
        <w:rPr>
          <w:b/>
        </w:rPr>
        <w:t xml:space="preserve">Findings </w:t>
      </w:r>
      <w:r>
        <w:t>In the USA (270,497 crash deaths), a +9°C anomaly raised same-day crash mortality, RR 1.165 (95% CI 1.134-1.196), and remained robust to adjustment for driving activity (RR 1.162, 95% CI 1.132-1.193). The excess was larger for open-air users (motorcyclists RR 2.141, pedestrians RR 1.213) than vehicle occupants (RR 1.050). Net heat-attributable deaths were 513 per year (1.33%), similar to 527 recorded direct-heat deaths (ICD-10 X30); +1 to +3°C warming projected 339-983 additional deaths per year. Japan data (11,576 deaths) were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a sensitivity analysis for the US we added national vehicle-miles travelled (VMT)</w:t>
      </w:r>
      <w:r>
        <w:rPr>
          <w:vertAlign w:val="superscript"/>
        </w:rPr>
        <w:t>10</w:t>
      </w:r>
      <w:r>
        <w:t xml:space="preserve"> and finished-motor-gasoline product supplied</w:t>
      </w:r>
      <w:r>
        <w:rPr>
          <w:vertAlign w:val="superscript"/>
        </w:rPr>
        <w:t>11</w:t>
      </w:r>
      <w:r>
        <w:t xml:space="preserve"> as activity proxies. Officially recorded direct-heat deaths (International Classification of Diseases, 10th revision [ICD-10] code X30) were obtained from CDC WONDER.</w:t>
      </w:r>
      <w:r>
        <w:rPr>
          <w:vertAlign w:val="superscript"/>
        </w:rPr>
        <w:t>12</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displacement (harvesting) rather than a net addition of deaths (Fig. 3; Table 2). The same-day association was essentially unchanged after adjusting for national vehicle-miles travelled and gasoline supplied (RR 1.162, 95% CI 1.132-1.193), suggesting that day-to-day driving volume alone does not explain the effect.</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much larger for open-air users: motorcyclists, RR 2.141 (2.000-2.292); pedestrians, RR 1.213 (1.145-1.286); and cyclists, RR 1.237 (1.032-1.484), a pattern consistent with direct bodily heat exposure and physical exertion.</w:t>
      </w:r>
      <w:r>
        <w:rPr>
          <w:vertAlign w:val="superscript"/>
        </w:rPr>
        <w:t>13</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14</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w:t>
      </w:r>
    </w:p>
    <w:p/>
    <w:p>
      <w:pPr>
        <w:pStyle w:val="Heading1"/>
      </w:pPr>
      <w:r>
        <w:t>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does not capture sub-unit variation such as urban heat islands, and omits humidity, wet-bulb globe temperature and other heat-stress metrics. Third, activity adjustment used national monthly proxies (vehicle-miles travelled and gasoline supplied) and is not daily, state-level or mode-specific; daily state-level or mode-specific activity could alter the road-user and time-of-day gradients.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Declaration of 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Centers for Disease Control and Prevention. CDC WONDER Underlying Cause of Death database. https://wonder.cdc.gov/</w:t>
      </w:r>
    </w:p>
    <w:p>
      <w:pPr>
        <w:spacing w:after="80"/>
      </w:pPr>
      <w:r>
        <w:t>13. Daanen HAM, van de Vliert E, Huang X. Driving performance in cold, warm, and thermoneutral environments. Appl Ergon 2003;34:597-602.</w:t>
      </w:r>
    </w:p>
    <w:p>
      <w:pPr>
        <w:spacing w:after="80"/>
      </w:pPr>
      <w:r>
        <w:t>14.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