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Variation in Pain-Related Prescribing Across Japan’s 47 Prefectures: An Ecological Study Using the National Database of Health Insurance Claims</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Article</w:t>
      </w:r>
    </w:p>
    <w:p>
      <w:r>
        <w:rPr>
          <w:b/>
        </w:rPr>
        <w:t xml:space="preserve">Running title: </w:t>
      </w:r>
      <w:r>
        <w:t>Pain prescribing variation in Japan</w:t>
      </w:r>
    </w:p>
    <w:p>
      <w:r>
        <w:rPr>
          <w:b/>
        </w:rPr>
        <w:t xml:space="preserve">Word count (body): </w:t>
      </w:r>
      <w:r>
        <w:t>[body word count]</w:t>
      </w:r>
    </w:p>
    <w:p>
      <w:r>
        <w:rPr>
          <w:b/>
        </w:rPr>
        <w:t xml:space="preserve">Word count (abstract): </w:t>
      </w:r>
      <w:r>
        <w:t>[abstract word count]</w:t>
      </w:r>
    </w:p>
    <w:p>
      <w:r>
        <w:rPr>
          <w:b/>
        </w:rPr>
        <w:t xml:space="preserve">Number of figures: </w:t>
      </w:r>
      <w:r>
        <w:t>3</w:t>
      </w:r>
    </w:p>
    <w:p>
      <w:r>
        <w:rPr>
          <w:b/>
        </w:rPr>
        <w:t xml:space="preserve">Number of tables: </w:t>
      </w:r>
      <w:r>
        <w:t>2</w:t>
      </w:r>
    </w:p>
    <w:p>
      <w:r>
        <w:rPr>
          <w:b/>
        </w:rPr>
        <w:t xml:space="preserve">Number of supplementary materials: </w:t>
      </w:r>
      <w:r>
        <w:t>1 (Supplementary Table 1)</w:t>
      </w:r>
    </w:p>
    <w:p>
      <w:r>
        <w:rPr>
          <w:b/>
        </w:rPr>
        <w:t xml:space="preserve">Keywords: </w:t>
      </w:r>
      <w:r>
        <w:t>analgesics; ecological study; health care disparities; Japan; prescriptions</w:t>
      </w:r>
    </w:p>
    <w:p>
      <w:r>
        <w:br w:type="page"/>
      </w:r>
    </w:p>
    <w:p>
      <w:pPr>
        <w:pStyle w:val="Heading1"/>
      </w:pPr>
      <w:r>
        <w:rPr>
          <w:rFonts w:ascii="Times New Roman" w:hAnsi="Times New Roman"/>
          <w:color w:val="000000"/>
        </w:rPr>
        <w:t>Abstract</w:t>
      </w:r>
    </w:p>
    <w:p>
      <w:r>
        <w:rPr>
          <w:b/>
        </w:rPr>
        <w:t xml:space="preserve">Background: </w:t>
      </w:r>
      <w:r>
        <w:t>Pain-related prescribing practices may vary geographically even within a single national health insurance system, but the magnitude and determinants of such variation remain poorly characterised in Japan.</w:t>
      </w:r>
    </w:p>
    <w:p>
      <w:r>
        <w:rPr>
          <w:b/>
        </w:rPr>
        <w:t xml:space="preserve">Methods: </w:t>
      </w:r>
      <w:r>
        <w:t>This ecological study analysed prefecture-level aggregate data from the National Database of Health Insurance Claims (NDB Open Data, 10th edition; April 2023–March 2024) covering all 47 prefectures. Phase 1 examined acute perioperative analgesic prescribing per surgery. Phase 2 examined outpatient neuropathic pain drug prescribing as a chronic pain proxy, with regression adjustment for confounding disease proxies (diabetes, herpes zoster, depression, anxiety). Standardised claim ratios (SCR) were computed by indirect age-sex standardisation.</w:t>
      </w:r>
    </w:p>
    <w:p>
      <w:r>
        <w:rPr>
          <w:b/>
        </w:rPr>
        <w:t xml:space="preserve">Results: </w:t>
      </w:r>
      <w:r>
        <w:t>Acute analgesic prescribing varied 1.97-fold across prefectures (Kruskal–Wallis P&lt;0.001). Unadjusted neuropathic pain prescribing showed marked regional clustering, but confounding disease proxies—particularly diabetes drugs (r=0.87)—explained 81% of between-prefecture variance. The Tohoku–non-Tohoku difference was attenuated by 84% after confounder adjustment (P=0.32). Age-sex standardised SCR confirmed 2.3-fold variation in analgesic prescribing independent of demographic structure.</w:t>
      </w:r>
    </w:p>
    <w:p>
      <w:r>
        <w:rPr>
          <w:b/>
        </w:rPr>
        <w:t xml:space="preserve">Conclusions: </w:t>
      </w:r>
      <w:r>
        <w:t>Nearly twofold within-country variation in pain-related prescribing persists after age-sex standardisation, indicating supply-sensitive practice variation. Ecological studies of neuropathic pain drugs must account for confounding diseases, particularly diabetes, to avoid misattributing disease-driven prescribing to regional practice differences.</w:t>
      </w:r>
    </w:p>
    <w:p>
      <w:r>
        <w:br w:type="page"/>
      </w:r>
    </w:p>
    <w:p>
      <w:pPr>
        <w:pStyle w:val="Heading1"/>
      </w:pPr>
      <w:r>
        <w:rPr>
          <w:rFonts w:ascii="Times New Roman" w:hAnsi="Times New Roman"/>
          <w:color w:val="000000"/>
        </w:rPr>
        <w:t>Introduction</w:t>
      </w:r>
    </w:p>
    <w:p>
      <w:r>
        <w:t>Geographic variation in medical practice has been recognised as a major challenge for healthcare quality since Wennberg's pioneering work on small-area variation.</w:t>
      </w:r>
      <w:r>
        <w:rPr>
          <w:sz w:val="20"/>
          <w:vertAlign w:val="superscript"/>
        </w:rPr>
        <w:t>1</w:t>
      </w:r>
      <w:r>
        <w:t xml:space="preserve"> When prescribing rates differ across regions beyond what disease burden and demographics can explain, such unwarranted variation signals potential over- or under-treatment and merits systematic investigation.</w:t>
      </w:r>
      <w:r>
        <w:rPr>
          <w:sz w:val="20"/>
          <w:vertAlign w:val="superscript"/>
        </w:rPr>
        <w:t>1,16</w:t>
      </w:r>
      <w:r/>
    </w:p>
    <w:p>
      <w:r>
        <w:t>Japan's universal health insurance system, standardised drug pricing, and the National Database of Health Insurance Claims (NDB)—which captures virtually all reimbursed healthcare utilisation for approximately 125 million insured individuals</w:t>
      </w:r>
      <w:r>
        <w:rPr>
          <w:sz w:val="20"/>
          <w:vertAlign w:val="superscript"/>
        </w:rPr>
        <w:t>3</w:t>
      </w:r>
      <w:r>
        <w:t>—provide a unique setting for studying practice variation. Taira et al demonstrated substantial regional inequality in dental care utilisation using NDB-derived standardised claim ratios across all 47 prefectures.</w:t>
      </w:r>
      <w:r>
        <w:rPr>
          <w:sz w:val="20"/>
          <w:vertAlign w:val="superscript"/>
        </w:rPr>
        <w:t>2</w:t>
      </w:r>
      <w:r>
        <w:t xml:space="preserve"> Recent studies have also documented up to 1.6-fold regional variation in chronic pain prevalence</w:t>
      </w:r>
      <w:r>
        <w:rPr>
          <w:sz w:val="20"/>
          <w:vertAlign w:val="superscript"/>
        </w:rPr>
        <w:t>4</w:t>
      </w:r>
      <w:r>
        <w:t xml:space="preserve"> and 4-fold variation in cancer opioid prescribing.</w:t>
      </w:r>
      <w:r>
        <w:rPr>
          <w:sz w:val="20"/>
          <w:vertAlign w:val="superscript"/>
        </w:rPr>
        <w:t>5</w:t>
      </w:r>
      <w:r>
        <w:t xml:space="preserve"> However, no study has comprehensively mapped pain-related prescribing variation across all 47 prefectures using the population-complete NDB.</w:t>
      </w:r>
    </w:p>
    <w:p>
      <w:r>
        <w:t>Pain management is particularly amenable to ecological analysis because analgesic prescribing reflects both disease burden and clinical practice patterns. The perioperative setting offers a further methodological advantage: because all patients in this analysis are hospitalised for surgery, healthcare access—a major confounder in community-based prescribing studies—is neutralised by design. Outpatient neuropathic pain drugs can serve as a population-level proxy for chronic pain burden, but these medications have multiple indications (notably diabetic neuropathy), requiring careful confounder adjustment.</w:t>
      </w:r>
    </w:p>
    <w:p>
      <w:r>
        <w:t>This study had three objectives: (1) map regional variation in acute perioperative analgesic prescribing across 47 prefectures; (2) examine outpatient neuropathic pain drug prescribing as a chronic postsurgical pain (CPSP) proxy after adjustment for confounding diseases; and (3) quantify the contribution of confounders to the apparent regional pattern.</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6</w:t>
      </w:r>
      <w:r>
        <w:t xml:space="preserve"> and the REporting of studies Conducted using Observational Routinely-collected health Data (RECORD) extension.</w:t>
      </w:r>
      <w:r>
        <w:rPr>
          <w:sz w:val="20"/>
          <w:vertAlign w:val="superscript"/>
        </w:rPr>
        <w:t>7</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3</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10 events. Prefecture-level population estimates (October 2023, by 5-year age group and sex) from the Statistics Bureau of Japan were used to compute per-capita rates and standardised claim ratios.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and Class 821 (synthetic narcotics including fentanyl and pethidine). The analgesic-per-surgery index was calculated for each prefecture as total inpatient analgesic prescription units divided by total inpatient surgical procedure count (K Surgery section), providing a standardised measure of analgesic intensity that accounts for differences in surgical volume.</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 divided by total inpatient surgical procedure count. Per-capita neuropathic pain prescribing rates were additionally computed.</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herpes zoster antivirals (47 formulations; proxy for postherpetic neuralgia), antidepressants excluding duloxetine (128 formulations; proxy for depression), and anxiolytics (112 formulations; proxy for anxiety disorders). Each proxy was expressed per surgery for consistency. Outpatient nerve block procedure counts (73 codes) served as an additional independent proxy.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Mann–Whitney U tests with Bonferroni correction. Effect sizes were quantified using Cohen's d. For Phase 2, five regression models were fitted with progressive confounder adjustment: Model 1 (unadjusted Tohoku vs non-Tohoku), Model 2 (neuropathic pain ~ diabetes + herpes + antidepressants + anxiolytics + Tohoku), Model 3 (core neuropathic drugs only ~ same confounders), Model 4 (nerve blocks ~ same confounders), and Model 5 (neuropathic pain ~ acute analgesic index + confounders). The adjusted CPSP index was derived as residuals from regressing neuropathic pain prescribing on the four confounder proxies.</w:t>
      </w:r>
    </w:p>
    <w:p>
      <w:r>
        <w:t>Standardised claim ratios (SCR) were computed by indirect age-sex standardisation following Taira et al.</w:t>
      </w:r>
      <w:r>
        <w:rPr>
          <w:sz w:val="20"/>
          <w:vertAlign w:val="superscript"/>
        </w:rPr>
        <w:t>2</w:t>
      </w:r>
      <w:r>
        <w:t xml:space="preserve"> National age-sex-specific prescription rates (18 five-year age groups × 2 sexes) were applied to each prefecture's population structure. All analyses used Python 3.11 (NumPy 1.24, SciPy 1.11).</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Values are mean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w:t>
            </w:r>
          </w:p>
        </w:tc>
        <w:tc>
          <w:tcPr>
            <w:tcW w:type="dxa" w:w="2126"/>
          </w:tcPr>
          <w:p>
            <w:r>
              <w:rPr>
                <w:b/>
                <w:sz w:val="18"/>
              </w:rPr>
              <w:t>Mean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(4.33)</w:t>
            </w:r>
          </w:p>
        </w:tc>
        <w:tc>
          <w:tcPr>
            <w:tcW w:type="dxa" w:w="2126"/>
          </w:tcPr>
          <w:p>
            <w:r>
              <w:rPr>
                <w:sz w:val="18"/>
              </w:rPr>
              <w:t>35.81–49.75</w:t>
            </w:r>
          </w:p>
        </w:tc>
      </w:tr>
    </w:tbl>
    <w:p/>
    <w:p>
      <w:r>
        <w:t>Substantial regional clustering was observed. Tokai and Kinki had the lowest indices, while Kyushu-Okinawa and Hokkaido had the highest. Tohoku ranked seventh of nine with a mean index of 39.97 (SD, 3.53), significantly above the non-Tohoku mean of 35.17 (Mann–Whitney U=190, P=0.031; Cohen's d=0.87). This pattern was consistent across all three drug classes: NSAIDs (P=0.044), opioid alkaloids (P=0.003), and synthetic opioids (P=0.001).</w:t>
      </w:r>
    </w:p>
    <w:p>
      <w:pPr>
        <w:pStyle w:val="Heading2"/>
      </w:pPr>
      <w:r>
        <w:rPr>
          <w:rFonts w:ascii="Times New Roman" w:hAnsi="Times New Roman"/>
          <w:color w:val="000000"/>
        </w:rPr>
        <w:t>Phase 2: Outpatient neuropathic pain prescribing</w:t>
      </w:r>
    </w:p>
    <w:p>
      <w:r>
        <w:t>Outpatient neuropathic pain drug prescriptions totalled 2,289,549,163 units, comprising pregabalin (40.2%), neurotropin (20.1%), mirogabalin (19.6%), duloxetine (15.3%), and tramadol (4.9%). Tohoku had the highest neuropathic pain prescribing-per-surgery index (432.8 vs 282.5; P&lt;0.001; d=2.81; Figure 1).</w:t>
      </w:r>
    </w:p>
    <w:p>
      <w:pPr>
        <w:spacing w:before="360" w:after="120"/>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120" w:after="240"/>
      </w:pPr>
      <w:r>
        <w:rPr>
          <w:b/>
          <w:sz w:val="20"/>
        </w:rPr>
        <w:t xml:space="preserve">Figure 1. </w:t>
      </w:r>
      <w:r>
        <w:rPr>
          <w:sz w:val="20"/>
        </w:rPr>
        <w:t>Outpatient neuropathic pain drug prescribing per surgery by prefecture. Dashed line indicates the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Figure 2).</w:t>
      </w:r>
    </w:p>
    <w:p>
      <w:pPr>
        <w:spacing w:before="360" w:after="120"/>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120" w:after="240"/>
      </w:pPr>
      <w:r>
        <w:rPr>
          <w:b/>
          <w:sz w:val="20"/>
        </w:rPr>
        <w:t xml:space="preserve">Figure 2. </w:t>
      </w:r>
      <w:r>
        <w:rPr>
          <w:sz w:val="20"/>
        </w:rPr>
        <w:t>Correlation between neuropathic pain prescribing and confounder disease proxies across 47 prefectures. Diabetes drugs show the strongest correlation (r=0.87).</w:t>
      </w:r>
    </w:p>
    <w:p>
      <w:r>
        <w:t>After adjustment, the Tohoku effect was attenuated and became nonsignificant in Model 2 (β=32.6, P=0.15). This was consistent across specifications: Model 3 (core neuropathic drugs; β=15.7, P=0.23), Model 4 (nerve blocks; P=0.86), and Model 5 (integrated; β=31.5, P=0.15; Table 2).</w:t>
      </w:r>
    </w:p>
    <w:p>
      <w:pPr>
        <w:spacing w:before="280"/>
      </w:pPr>
      <w:r>
        <w:rPr>
          <w:b/>
          <w:sz w:val="20"/>
        </w:rPr>
        <w:t xml:space="preserve">Table 2. </w:t>
      </w:r>
      <w:r>
        <w:rPr>
          <w:sz w:val="20"/>
        </w:rPr>
        <w:t>Regression models for outpatient neuropathic pain prescribing.</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Model</w:t>
            </w:r>
          </w:p>
        </w:tc>
        <w:tc>
          <w:tcPr>
            <w:tcW w:type="dxa" w:w="1701"/>
          </w:tcPr>
          <w:p>
            <w:r>
              <w:rPr>
                <w:b/>
                <w:sz w:val="18"/>
              </w:rPr>
              <w:t>Tohoku β</w:t>
            </w:r>
          </w:p>
        </w:tc>
        <w:tc>
          <w:tcPr>
            <w:tcW w:type="dxa" w:w="1701"/>
          </w:tcPr>
          <w:p>
            <w:r>
              <w:rPr>
                <w:b/>
                <w:sz w:val="18"/>
              </w:rPr>
              <w:t>Tohoku P</w:t>
            </w:r>
          </w:p>
        </w:tc>
        <w:tc>
          <w:tcPr>
            <w:tcW w:type="dxa" w:w="1701"/>
          </w:tcPr>
          <w:p>
            <w:r>
              <w:rPr>
                <w:b/>
                <w:sz w:val="18"/>
              </w:rPr>
              <w:t>Fit</w:t>
            </w:r>
          </w:p>
        </w:tc>
        <w:tc>
          <w:tcPr>
            <w:tcW w:type="dxa" w:w="1701"/>
          </w:tcPr>
          <w:p>
            <w:r>
              <w:rPr>
                <w:b/>
                <w:sz w:val="18"/>
              </w:rPr>
              <w:t>Note</w:t>
            </w:r>
          </w:p>
        </w:tc>
      </w:tr>
      <w:tr>
        <w:tc>
          <w:tcPr>
            <w:tcW w:type="dxa" w:w="1701"/>
          </w:tcPr>
          <w:p>
            <w:r>
              <w:rPr>
                <w:sz w:val="18"/>
              </w:rPr>
              <w:t>Model 1 (unadjusted)</w:t>
            </w:r>
          </w:p>
        </w:tc>
        <w:tc>
          <w:tcPr>
            <w:tcW w:type="dxa" w:w="1701"/>
          </w:tcPr>
          <w:p>
            <w:r>
              <w:rPr>
                <w:sz w:val="18"/>
              </w:rPr>
              <w:t>—</w:t>
            </w:r>
          </w:p>
        </w:tc>
        <w:tc>
          <w:tcPr>
            <w:tcW w:type="dxa" w:w="1701"/>
          </w:tcPr>
          <w:p>
            <w:r>
              <w:rPr>
                <w:sz w:val="18"/>
              </w:rPr>
              <w:t>—</w:t>
            </w:r>
          </w:p>
        </w:tc>
        <w:tc>
          <w:tcPr>
            <w:tcW w:type="dxa" w:w="1701"/>
          </w:tcPr>
          <w:p>
            <w:r>
              <w:rPr>
                <w:sz w:val="18"/>
              </w:rPr>
              <w:t>d=2.81</w:t>
            </w:r>
          </w:p>
        </w:tc>
        <w:tc>
          <w:tcPr>
            <w:tcW w:type="dxa" w:w="1701"/>
          </w:tcPr>
          <w:p>
            <w:r>
              <w:rPr>
                <w:sz w:val="18"/>
              </w:rPr>
              <w:t>P&lt;0.001</w:t>
            </w:r>
          </w:p>
        </w:tc>
      </w:tr>
      <w:tr>
        <w:tc>
          <w:tcPr>
            <w:tcW w:type="dxa" w:w="1701"/>
          </w:tcPr>
          <w:p>
            <w:r>
              <w:rPr>
                <w:sz w:val="18"/>
              </w:rPr>
              <w:t>Model 2 (all confounders)</w:t>
            </w:r>
          </w:p>
        </w:tc>
        <w:tc>
          <w:tcPr>
            <w:tcW w:type="dxa" w:w="1701"/>
          </w:tcPr>
          <w:p>
            <w:r>
              <w:rPr>
                <w:sz w:val="18"/>
              </w:rPr>
              <w:t>32.6</w:t>
            </w:r>
          </w:p>
        </w:tc>
        <w:tc>
          <w:tcPr>
            <w:tcW w:type="dxa" w:w="1701"/>
          </w:tcPr>
          <w:p>
            <w:r>
              <w:rPr>
                <w:sz w:val="18"/>
              </w:rPr>
              <w:t>0.150</w:t>
            </w:r>
          </w:p>
        </w:tc>
        <w:tc>
          <w:tcPr>
            <w:tcW w:type="dxa" w:w="1701"/>
          </w:tcPr>
          <w:p>
            <w:r>
              <w:rPr>
                <w:sz w:val="18"/>
              </w:rPr>
              <w:t>R²=0.814</w:t>
            </w:r>
          </w:p>
        </w:tc>
        <w:tc>
          <w:tcPr>
            <w:tcW w:type="dxa" w:w="1701"/>
          </w:tcPr>
          <w:p>
            <w:r>
              <w:rPr>
                <w:sz w:val="18"/>
              </w:rPr>
            </w:r>
          </w:p>
        </w:tc>
      </w:tr>
      <w:tr>
        <w:tc>
          <w:tcPr>
            <w:tcW w:type="dxa" w:w="1701"/>
          </w:tcPr>
          <w:p>
            <w:r>
              <w:rPr>
                <w:sz w:val="18"/>
              </w:rPr>
              <w:t>Model 3 (core neuro)</w:t>
            </w:r>
          </w:p>
        </w:tc>
        <w:tc>
          <w:tcPr>
            <w:tcW w:type="dxa" w:w="1701"/>
          </w:tcPr>
          <w:p>
            <w:r>
              <w:rPr>
                <w:sz w:val="18"/>
              </w:rPr>
              <w:t>15.7</w:t>
            </w:r>
          </w:p>
        </w:tc>
        <w:tc>
          <w:tcPr>
            <w:tcW w:type="dxa" w:w="1701"/>
          </w:tcPr>
          <w:p>
            <w:r>
              <w:rPr>
                <w:sz w:val="18"/>
              </w:rPr>
              <w:t>0.229</w:t>
            </w:r>
          </w:p>
        </w:tc>
        <w:tc>
          <w:tcPr>
            <w:tcW w:type="dxa" w:w="1701"/>
          </w:tcPr>
          <w:p>
            <w:r>
              <w:rPr>
                <w:sz w:val="18"/>
              </w:rPr>
              <w:t>R²=0.811</w:t>
            </w:r>
          </w:p>
        </w:tc>
        <w:tc>
          <w:tcPr>
            <w:tcW w:type="dxa" w:w="1701"/>
          </w:tcPr>
          <w:p>
            <w:r>
              <w:rPr>
                <w:sz w:val="18"/>
              </w:rPr>
            </w:r>
          </w:p>
        </w:tc>
      </w:tr>
      <w:tr>
        <w:tc>
          <w:tcPr>
            <w:tcW w:type="dxa" w:w="1701"/>
          </w:tcPr>
          <w:p>
            <w:r>
              <w:rPr>
                <w:sz w:val="18"/>
              </w:rPr>
              <w:t>Model 4 (nerve blocks)</w:t>
            </w:r>
          </w:p>
        </w:tc>
        <w:tc>
          <w:tcPr>
            <w:tcW w:type="dxa" w:w="1701"/>
          </w:tcPr>
          <w:p>
            <w:r>
              <w:rPr>
                <w:sz w:val="18"/>
              </w:rPr>
              <w:t>0.1</w:t>
            </w:r>
          </w:p>
        </w:tc>
        <w:tc>
          <w:tcPr>
            <w:tcW w:type="dxa" w:w="1701"/>
          </w:tcPr>
          <w:p>
            <w:r>
              <w:rPr>
                <w:sz w:val="18"/>
              </w:rPr>
              <w:t>0.863</w:t>
            </w:r>
          </w:p>
        </w:tc>
        <w:tc>
          <w:tcPr>
            <w:tcW w:type="dxa" w:w="1701"/>
          </w:tcPr>
          <w:p>
            <w:r>
              <w:rPr>
                <w:sz w:val="18"/>
              </w:rPr>
              <w:t>R²=0.145</w:t>
            </w:r>
          </w:p>
        </w:tc>
        <w:tc>
          <w:tcPr>
            <w:tcW w:type="dxa" w:w="1701"/>
          </w:tcPr>
          <w:p>
            <w:r>
              <w:rPr>
                <w:sz w:val="18"/>
              </w:rPr>
            </w:r>
          </w:p>
        </w:tc>
      </w:tr>
      <w:tr>
        <w:tc>
          <w:tcPr>
            <w:tcW w:type="dxa" w:w="1701"/>
          </w:tcPr>
          <w:p>
            <w:r>
              <w:rPr>
                <w:sz w:val="18"/>
              </w:rPr>
              <w:t>Model 5 (integrated)</w:t>
            </w:r>
          </w:p>
        </w:tc>
        <w:tc>
          <w:tcPr>
            <w:tcW w:type="dxa" w:w="1701"/>
          </w:tcPr>
          <w:p>
            <w:r>
              <w:rPr>
                <w:sz w:val="18"/>
              </w:rPr>
              <w:t>31.5</w:t>
            </w:r>
          </w:p>
        </w:tc>
        <w:tc>
          <w:tcPr>
            <w:tcW w:type="dxa" w:w="1701"/>
          </w:tcPr>
          <w:p>
            <w:r>
              <w:rPr>
                <w:sz w:val="18"/>
              </w:rPr>
              <w:t>0.149</w:t>
            </w:r>
          </w:p>
        </w:tc>
        <w:tc>
          <w:tcPr>
            <w:tcW w:type="dxa" w:w="1701"/>
          </w:tcPr>
          <w:p>
            <w:r>
              <w:rPr>
                <w:sz w:val="18"/>
              </w:rPr>
              <w:t>R²=0.832</w:t>
            </w:r>
          </w:p>
        </w:tc>
        <w:tc>
          <w:tcPr>
            <w:tcW w:type="dxa" w:w="1701"/>
          </w:tcPr>
          <w:p>
            <w:r>
              <w:rPr>
                <w:sz w:val="18"/>
              </w:rPr>
            </w:r>
          </w:p>
        </w:tc>
      </w:tr>
    </w:tbl>
    <w:p/>
    <w:p>
      <w:r>
        <w:t>The adjusted CPSP index showed a dramatically different geographic pattern. The Tohoku mean shifted from markedly positive to a modest, nonsignificant excess (+12.4 vs -1.8; P=0.32; d=0.44; Figure 3).</w:t>
      </w:r>
    </w:p>
    <w:p>
      <w:pPr>
        <w:spacing w:before="360" w:after="120"/>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120" w:after="240"/>
      </w:pPr>
      <w:r>
        <w:rPr>
          <w:b/>
          <w:sz w:val="20"/>
        </w:rPr>
        <w:t xml:space="preserve">Figure 3. </w:t>
      </w:r>
      <w:r>
        <w:rPr>
          <w:sz w:val="20"/>
        </w:rPr>
        <w:t>Regional comparison of neuropathic pain prescribing: (a) unadjusted and (b) after confounder adjustment. Error bars indicate SD.</w:t>
      </w:r>
    </w:p>
    <w:p>
      <w:pPr>
        <w:pStyle w:val="Heading2"/>
      </w:pPr>
      <w:r>
        <w:rPr>
          <w:rFonts w:ascii="Times New Roman" w:hAnsi="Times New Roman"/>
          <w:color w:val="000000"/>
        </w:rPr>
        <w:t>Integration of acute and chronic prescribing</w:t>
      </w:r>
    </w:p>
    <w:p>
      <w:r>
        <w:t>Acute perioperative prescribing correlated positively with unadjusted neuropathic pain prescribing (r=0.38, P=0.008). After confounder adjustment, this correlation was attenuated (r=0.29, P=0.052). In Model 5, the acute pain index remained a significant predictor (β=1.90, P=0.044), while the Tohoku indicator was nonsignificant (β=31.5, P=0.15).</w:t>
      </w:r>
    </w:p>
    <w:p>
      <w:pPr>
        <w:pStyle w:val="Heading2"/>
      </w:pPr>
      <w:r>
        <w:rPr>
          <w:rFonts w:ascii="Times New Roman" w:hAnsi="Times New Roman"/>
          <w:color w:val="000000"/>
        </w:rPr>
        <w:t>Age-sex standardised claim ratios</w:t>
      </w:r>
    </w:p>
    <w:p>
      <w:r>
        <w:t>After indirect age-sex standardisation, inpatient analgesic SCR ranged from 63.6 to 147.9 (2.3-fold variation), confirming that prescribing heterogeneity was not attributable to differences in prefectural age-sex composition. Outpatient neuropathic pain drug SCR ranged from 74.7 to 152.0 (2.0-fold).</w:t>
      </w:r>
    </w:p>
    <w:p>
      <w:pPr>
        <w:pStyle w:val="Heading1"/>
      </w:pPr>
      <w:r>
        <w:rPr>
          <w:rFonts w:ascii="Times New Roman" w:hAnsi="Times New Roman"/>
          <w:color w:val="000000"/>
        </w:rPr>
        <w:t>Discussion</w:t>
      </w:r>
    </w:p>
    <w:p>
      <w:r>
        <w:t>This study is the first to map perioperative and chronic pain-related prescribing across all 47 prefectures of Japan using the population-complete NDB Open Data. Three principal findings emerged.</w:t>
      </w:r>
    </w:p>
    <w:p>
      <w:pPr>
        <w:pStyle w:val="Heading2"/>
      </w:pPr>
      <w:r>
        <w:rPr>
          <w:rFonts w:ascii="Times New Roman" w:hAnsi="Times New Roman"/>
          <w:color w:val="000000"/>
        </w:rPr>
        <w:t>Principal findings</w:t>
      </w:r>
    </w:p>
    <w:p>
      <w:r>
        <w:t>First, acute perioperative analgesic prescribing varied 1.97-fold across prefectures—comparable to the regional variation in dental care utilisation reported by Taira et al</w:t>
      </w:r>
      <w:r>
        <w:rPr>
          <w:sz w:val="20"/>
          <w:vertAlign w:val="superscript"/>
        </w:rPr>
        <w:t>2</w:t>
      </w:r>
      <w:r>
        <w:t xml:space="preserve"> and consistent with the supply-sensitive variation pattern described by Wennberg.</w:t>
      </w:r>
      <w:r>
        <w:rPr>
          <w:sz w:val="20"/>
          <w:vertAlign w:val="superscript"/>
        </w:rPr>
        <w:t>1</w:t>
      </w:r>
      <w:r>
        <w:t xml:space="preserve"> This variation was robust: it persisted after age-sex standardisation (SCR range, 64–148) and was consistent across all three analgesic drug classes.</w:t>
      </w:r>
    </w:p>
    <w:p>
      <w:r>
        <w:t>Second, the most methodologically important finding is that the marked regional variation in neuropathic pain prescribing (unadjusted d=2.81) was largely explained by confounding disease proxies, particularly diabetes drug prescribing (r=0.87). After adjustment, the apparent Tohoku excess was attenuated by 84% and became nonsignificant. This has important implications: ecological studies using neuropathic pain drugs as a chronic pain proxy must account for diabetic neuropathy. Without such adjustment, regional differences in diabetes prevalence will be misattributed to differences in pain management practice.</w:t>
      </w:r>
    </w:p>
    <w:p>
      <w:r>
        <w:t>Third, the positive correlation between acute and confounder-adjusted chronic indices (r=0.29, P=0.052) and the significant acute pain predictor in Model 5 (β=1.90, P=0.044) suggest a modest link between regional acute pain management intensity and subsequent chronic pain-related prescribing. This is consistent with individual-level evidence that acute postoperative pain intensity is a risk factor for CPSP.</w:t>
      </w:r>
      <w:r>
        <w:rPr>
          <w:sz w:val="20"/>
          <w:vertAlign w:val="superscript"/>
        </w:rPr>
        <w:t>8</w:t>
      </w:r>
      <w:r/>
    </w:p>
    <w:p>
      <w:pPr>
        <w:pStyle w:val="Heading2"/>
      </w:pPr>
      <w:r>
        <w:rPr>
          <w:rFonts w:ascii="Times New Roman" w:hAnsi="Times New Roman"/>
          <w:color w:val="000000"/>
        </w:rPr>
        <w:t>Clinical implications</w:t>
      </w:r>
    </w:p>
    <w:p>
      <w:r>
        <w:t>The 1.97-fold within-Japan variation has broader implications beyond descriptive epidemiology. A large body of evidence demonstrates that cultural stereotypes influence clinician pain assessment and prescribing behaviour internationally: Anderson et al showed systematic disparities in pain management across racial and ethnic groups,</w:t>
      </w:r>
      <w:r>
        <w:rPr>
          <w:sz w:val="20"/>
          <w:vertAlign w:val="superscript"/>
        </w:rPr>
        <w:t>13</w:t>
      </w:r>
      <w:r>
        <w:t xml:space="preserve"> and Campbell and Edwards identified that clinician expectations about cultural pain behaviour can lead to systematic under- or over-treatment.</w:t>
      </w:r>
      <w:r>
        <w:rPr>
          <w:sz w:val="20"/>
          <w:vertAlign w:val="superscript"/>
        </w:rPr>
        <w:t>14</w:t>
      </w:r>
      <w:r>
        <w:t xml:space="preserve"> Japan is often characterised as culturally homogeneous with patients who are stoic about pain.</w:t>
      </w:r>
      <w:r>
        <w:rPr>
          <w:sz w:val="20"/>
          <w:vertAlign w:val="superscript"/>
        </w:rPr>
        <w:t>11,12</w:t>
      </w:r>
      <w:r>
        <w:t xml:space="preserve"> Yet our data demonstrate that even within this putatively uniform population, prescribing patterns vary nearly twofold—a degree of heterogeneity that makes any national-level characterisation clinically misleading. The Pfizer Japan 2017 survey similarly found that the proportion of chronic pain patients "enduring pain without seeking treatment" ranged from 48.7% to 81.6% across prefectures.</w:t>
      </w:r>
      <w:r>
        <w:rPr>
          <w:sz w:val="20"/>
          <w:vertAlign w:val="superscript"/>
        </w:rPr>
        <w:t>9</w:t>
      </w:r>
      <w:r/>
    </w:p>
    <w:p>
      <w:r>
        <w:t>The revised IASP definition describes pain as inherently subjective.</w:t>
      </w:r>
      <w:r>
        <w:rPr>
          <w:sz w:val="20"/>
          <w:vertAlign w:val="superscript"/>
        </w:rPr>
        <w:t>15</w:t>
      </w:r>
      <w:r>
        <w:t xml:space="preserve"> No regional label or cultural generalisation can substitute for individualised pain assessment. Objective nociception monitoring may help standardise perioperative assessment.</w:t>
      </w:r>
      <w:r>
        <w:rPr>
          <w:sz w:val="20"/>
          <w:vertAlign w:val="superscript"/>
        </w:rPr>
        <w:t>17</w:t>
      </w:r>
      <w:r/>
    </w:p>
    <w:p>
      <w:pPr>
        <w:pStyle w:val="Heading2"/>
      </w:pPr>
      <w:r>
        <w:rPr>
          <w:rFonts w:ascii="Times New Roman" w:hAnsi="Times New Roman"/>
          <w:color w:val="000000"/>
        </w:rPr>
        <w:t>Strengths and limitations</w:t>
      </w:r>
    </w:p>
    <w:p>
      <w:r>
        <w:t>Strengths include the use of population-complete data covering all insurance-reimbursed healthcare in Japan, the novel integration of acute and chronic pain proxies, the transparent confounder-adjustment methodology, and a perioperative design that neutralises healthcare access as a confounder.</w:t>
      </w:r>
    </w:p>
    <w:p>
      <w:r>
        <w:t>Limitations are inherent to the ecological design. The unit of analysis is the prefecture, not the individual; ecological correlations may not reflect individual-level associations. NDB Open Data lack diagnosis codes, so the neuropathic pain drug proxy captures all indications, not CPSP specifically. Unmeasured confounders including surgical case mix and physician density may contribute to residual variation.</w:t>
      </w:r>
    </w:p>
    <w:p>
      <w:pPr>
        <w:pStyle w:val="Heading2"/>
      </w:pPr>
      <w:r>
        <w:rPr>
          <w:rFonts w:ascii="Times New Roman" w:hAnsi="Times New Roman"/>
          <w:color w:val="000000"/>
        </w:rPr>
        <w:t>Conclusion</w:t>
      </w:r>
    </w:p>
    <w:p>
      <w:r>
        <w:t>Pain-related prescribing varies nearly twofold across Japan's 47 prefectures, persisting after age-sex standardisation. Confounding diseases—particularly diabetes—substantially modify the apparent regional pattern of neuropathic pain prescribing and must be accounted for in ecological studies. Clinicians should base analgesic decisions on individual assessment rather than regional or cultural assumptions.</w:t>
      </w:r>
    </w:p>
    <w:p/>
    <w:p>
      <w:pPr>
        <w:pStyle w:val="Heading1"/>
      </w:pPr>
      <w:r>
        <w:rPr>
          <w:rFonts w:ascii="Times New Roman" w:hAnsi="Times New Roman"/>
          <w:color w:val="000000"/>
        </w:rPr>
        <w:t>Acknowledgements</w:t>
      </w:r>
    </w:p>
    <w:p>
      <w:r>
        <w:t>The author thanks the Ministry of Health, Labour and Welfare for making the NDB Open Data publicly available.</w:t>
      </w:r>
    </w:p>
    <w:p>
      <w:r>
        <w:rPr>
          <w:b/>
        </w:rPr>
        <w:t xml:space="preserve">Use of AI: </w:t>
      </w:r>
      <w:r>
        <w:t>Parts of data processing and manuscript preparation were assisted by generative AI (Claude, Anthropic). The author takes full responsibility for the accuracy and content of the manuscript.</w:t>
      </w:r>
    </w:p>
    <w:p>
      <w:r>
        <w:rPr>
          <w:b/>
        </w:rPr>
        <w:t xml:space="preserve">Conflicts of interest: </w:t>
      </w:r>
      <w:r>
        <w:t>The author declares no conflict of interest with respect to this research study and paper.</w:t>
      </w:r>
    </w:p>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
      <w:pPr>
        <w:pStyle w:val="Heading1"/>
      </w:pPr>
      <w:r>
        <w:rPr>
          <w:rFonts w:ascii="Times New Roman" w:hAnsi="Times New Roman"/>
          <w:color w:val="000000"/>
        </w:rPr>
        <w:t>Contributors</w:t>
      </w:r>
    </w:p>
    <w:p>
      <w:r>
        <w:t>TO: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Data Availability</w:t>
      </w:r>
    </w:p>
    <w:p>
      <w:r>
        <w:t>Data derived from a source in the public domain. The NDB Open Data used in this study are publicly available from the Ministry of Health, Labour and Welfare website (https://www.mhlw.go.jp/stf/seisakunitsuite/bunya/0000177221_00016.html). Analysis code is available at https://github.com/bougtoir/ndb-pain-regional-variation-japan.</w:t>
      </w:r>
    </w:p>
    <w:p>
      <w:r>
        <w:br w:type="page"/>
      </w:r>
    </w:p>
    <w:p>
      <w:pPr>
        <w:pStyle w:val="Heading1"/>
      </w:pPr>
      <w:r>
        <w:rPr>
          <w:rFonts w:ascii="Times New Roman" w:hAnsi="Times New Roman"/>
          <w:color w:val="000000"/>
        </w:rPr>
        <w:t>References</w:t>
      </w:r>
    </w:p>
    <w:p>
      <w:r>
        <w:rPr>
          <w:b/>
        </w:rPr>
        <w:t xml:space="preserve">1. </w:t>
      </w:r>
      <w:r>
        <w:t>Wennberg JE. Tracking Medicine: A Researcher's Quest to Understand Health Care. New York, NY: Oxford University Press; 2010.</w:t>
      </w:r>
    </w:p>
    <w:p>
      <w:r>
        <w:rPr>
          <w:b/>
        </w:rPr>
        <w:t xml:space="preserve">2.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3. </w:t>
      </w:r>
      <w:r>
        <w:t>Ministry of Health, Labour and Welfare. NDB Open Data, 10th edition. https://www.mhlw.go.jp/stf/seisakunitsuite/bunya/0000177221_00016.html. Accessed January 15, 2025.</w:t>
      </w:r>
    </w:p>
    <w:p>
      <w:r>
        <w:rPr>
          <w:b/>
        </w:rPr>
        <w:t xml:space="preserve">4.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5. </w:t>
      </w:r>
      <w:r>
        <w:t>Matsuoka Y, Morishima T, Sato A, et al. Population-based claims study of regional and hospital function differences in opioid prescribing for cancer patients who died in hospital in Japan. Jpn J Clin Oncol. 2025;55:hyaf149.</w:t>
      </w:r>
    </w:p>
    <w:p>
      <w:r>
        <w:rPr>
          <w:b/>
        </w:rPr>
        <w:t xml:space="preserve">6. </w:t>
      </w:r>
      <w:r>
        <w:t>von Elm E, Altman DG, Egger M, et al. The Strengthening the Reporting of Observational Studies in Epidemiology (STROBE) statement: guidelines for reporting observational studies. Lancet. 2007;370:1453–7. doi:10.1016/S0140-6736(07)61602-X</w:t>
      </w:r>
    </w:p>
    <w:p>
      <w:r>
        <w:rPr>
          <w:b/>
        </w:rPr>
        <w:t xml:space="preserve">7. </w:t>
      </w:r>
      <w:r>
        <w:t>Benchimol EI, Smeeth L, Guttmann A, et al. The REporting of studies Conducted using Observational Routinely-collected health Data (RECORD) statement. PLoS Med. 2015;12:e1001885. doi:10.1371/journal.pmed.1001885</w:t>
      </w:r>
    </w:p>
    <w:p>
      <w:r>
        <w:rPr>
          <w:b/>
        </w:rPr>
        <w:t xml:space="preserve">8. </w:t>
      </w:r>
      <w:r>
        <w:t>Kehlet H, Jensen TS, Woolf CJ. Persistent postsurgical pain: risk factors and prevention. Lancet. 2006;367:1618–25. doi:10.1016/S0140-6736(06)68700-X</w:t>
      </w:r>
    </w:p>
    <w:p>
      <w:r>
        <w:rPr>
          <w:b/>
        </w:rPr>
        <w:t xml:space="preserve">9. </w:t>
      </w:r>
      <w:r>
        <w:t>Pfizer Japan Inc. 47-prefecture survey on chronic pain. https://www.pfizer.co.jp/pfizer/company/press/2017. Accessed February 1, 2025.</w:t>
      </w:r>
    </w:p>
    <w:p>
      <w:r>
        <w:rPr>
          <w:b/>
        </w:rPr>
        <w:t xml:space="preserve">10. </w:t>
      </w:r>
      <w:r>
        <w:t>Ministry of Health, Labour and Welfare. Comprehensive Survey of Living Conditions (Kokumin Seikatsu Kiso Chousa), 2022. https://www.mhlw.go.jp/toukei/saikin/hw/k-tyosa/k-tyosa22/. Accessed March 1, 2025.</w:t>
      </w:r>
    </w:p>
    <w:p>
      <w:r>
        <w:rPr>
          <w:b/>
        </w:rPr>
        <w:t xml:space="preserve">11. </w:t>
      </w:r>
      <w:r>
        <w:t>Callister LC. Cultural influences on pain perceptions and behaviors. Home Health Care Manag Pract. 2003;15:207–11. doi:10.1177/1084822303015004003</w:t>
      </w:r>
    </w:p>
    <w:p>
      <w:r>
        <w:rPr>
          <w:b/>
        </w:rPr>
        <w:t xml:space="preserve">12. </w:t>
      </w:r>
      <w:r>
        <w:t>Hobara M. Beliefs about appropriate pain behavior: cross-cultural and sex differences between Japanese and Euro-Americans. Eur J Pain. 2005;9:389–93. doi:10.1016/j.ejpain.2004.09.006</w:t>
      </w:r>
    </w:p>
    <w:p>
      <w:r>
        <w:rPr>
          <w:b/>
        </w:rPr>
        <w:t xml:space="preserve">13. </w:t>
      </w:r>
      <w:r>
        <w:t>Anderson KO, Green CR, Payne R. Racial and ethnic disparities in pain: causes and consequences of unequal care. J Pain. 2009;10:1187–204. doi:10.1016/j.jpain.2009.06.010</w:t>
      </w:r>
    </w:p>
    <w:p>
      <w:r>
        <w:rPr>
          <w:b/>
        </w:rPr>
        <w:t xml:space="preserve">14. </w:t>
      </w:r>
      <w:r>
        <w:t>Campbell CM, Edwards RR. Ethnic differences in pain and pain management. Pain Manag. 2012;2:219–30. doi:10.2217/pmt.12.7</w:t>
      </w:r>
    </w:p>
    <w:p>
      <w:r>
        <w:rPr>
          <w:b/>
        </w:rPr>
        <w:t xml:space="preserve">15. </w:t>
      </w:r>
      <w:r>
        <w:t>Raja SN, Carr DB, Cohen M, et al. The revised International Association for the Study of Pain definition of pain: concepts, challenges, and compromises. Pain. 2020;161:1976–82. doi:10.1097/j.pain.0000000000001939</w:t>
      </w:r>
    </w:p>
    <w:p>
      <w:r>
        <w:rPr>
          <w:b/>
        </w:rPr>
        <w:t xml:space="preserve">16. </w:t>
      </w:r>
      <w:r>
        <w:t>Corallo AN, Croxford R, Goodman DC, Bryan EL, Srivastava D, Stukel TA. A systematic review of medical practice variation in OECD countries. Health Policy. 2014;114:5–14. doi:10.1016/j.healthpol.2013.08.002</w:t>
      </w:r>
    </w:p>
    <w:p>
      <w:r>
        <w:rPr>
          <w:b/>
        </w:rPr>
        <w:t xml:space="preserve">17.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doi:10.12688/f1000research.147085.2</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Bars represent individual prefectures ordered by prescribing index. Tohoku prefectures are indicated in red. Dashed line indicates the national mean.</w:t>
      </w:r>
    </w:p>
    <w:p>
      <w:r>
        <w:rPr>
          <w:b/>
          <w:sz w:val="22"/>
        </w:rPr>
        <w:t xml:space="preserve">Figure 2. </w:t>
      </w:r>
      <w:r>
        <w:rPr>
          <w:sz w:val="22"/>
        </w:rPr>
        <w:t>Correlation between neuropathic pain prescribing and confounder disease proxies across 47 prefectures. Each dot represents one prefecture. Diabetes drugs show the strongest correlation (r=0.87).</w:t>
      </w:r>
    </w:p>
    <w:p>
      <w:r>
        <w:rPr>
          <w:b/>
          <w:sz w:val="22"/>
        </w:rPr>
        <w:t xml:space="preserve">Figure 3. </w:t>
      </w:r>
      <w:r>
        <w:rPr>
          <w:sz w:val="22"/>
        </w:rPr>
        <w:t>Regional comparison of neuropathic pain prescribing: (a) unadjusted and (b) after adjustment for confounding disease proxies. Error bars indicate SD.</w:t>
      </w:r>
    </w:p>
    <w:sectPr w:rsidR="00FC693F" w:rsidRPr="0006063C" w:rsidSect="00034616">
      <w:footerReference w:type="default" r:id="rId9"/>
      <w:pgSz w:w="11906" w:h="16838"/>
      <w:pgMar w:top="1440" w:right="1701" w:bottom="1440" w:left="1701"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