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3450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The four- to eight-fold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0.21 points, less than 0.4%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0.21 percentage points could produce a ratio shift of approximately 0.21 points, which is less than 0.4% of the observed interquartile range for general anaesthesia and 0.2%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20</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21</w:t>
      </w:r>
      <w:r>
        <w:rPr>
          <w:rFonts w:ascii="Times New Roman" w:hAnsi="Times New Roman"/>
          <w:sz w:val="24"/>
        </w:rPr>
        <w:t xml:space="preserve"> and in Germany</w:t>
      </w:r>
      <w:r>
        <w:rPr>
          <w:rFonts w:ascii="Times New Roman" w:hAnsi="Times New Roman"/>
          <w:sz w:val="24"/>
          <w:vertAlign w:val="superscript"/>
        </w:rPr>
        <w:t>22</w:t>
      </w:r>
      <w:r>
        <w:rPr>
          <w:rFonts w:ascii="Times New Roman" w:hAnsi="Times New Roman"/>
          <w:sz w:val="24"/>
        </w:rPr>
        <w:t xml:space="preserve"> and Australia.</w:t>
      </w:r>
      <w:r>
        <w:rPr>
          <w:rFonts w:ascii="Times New Roman" w:hAnsi="Times New Roman"/>
          <w:sz w:val="24"/>
          <w:vertAlign w:val="superscript"/>
        </w:rPr>
        <w:t>23</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24</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20</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25</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21,22</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20,21</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27,28</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four- to eight-fold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27,28</w:t>
      </w:r>
      <w:r>
        <w:rPr>
          <w:rFonts w:ascii="Times New Roman" w:hAnsi="Times New Roman"/>
          <w:sz w:val="24"/>
        </w:rPr>
        <w:t xml:space="preserve"> aligned with international standards for safe practice of anaesthesia.</w:t>
      </w:r>
      <w:r>
        <w:rPr>
          <w:rFonts w:ascii="Times New Roman" w:hAnsi="Times New Roman"/>
          <w:sz w:val="24"/>
          <w:vertAlign w:val="superscript"/>
        </w:rPr>
        <w:t>28</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21.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22.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23.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24.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25.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