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Abstract</w:t>
      </w:r>
    </w:p>
    <w:p>
      <w:pPr>
        <w:spacing w:line="480" w:lineRule="auto" w:after="120"/>
      </w:pPr>
      <w:r>
        <w:rPr>
          <w:b/>
        </w:rPr>
        <w:t xml:space="preserve">Background: </w:t>
      </w:r>
      <w:r>
        <w:t>Ambient heat is an established mortality risk factor; because driving continues in heat, fatal crashes may involve heat-related impairment or unrecorded heat illness.</w:t>
      </w:r>
    </w:p>
    <w:p>
      <w:pPr>
        <w:spacing w:line="480" w:lineRule="auto" w:after="120"/>
      </w:pPr>
      <w:r>
        <w:rPr>
          <w:b/>
        </w:rPr>
        <w:t xml:space="preserve">Objectives: </w:t>
      </w:r>
      <w:r>
        <w:t>We quantified the acute association between local heat anomalies and daily traffic-crash mortality in the US and Japan.</w:t>
      </w:r>
    </w:p>
    <w:p>
      <w:pPr>
        <w:spacing w:line="480" w:lineRule="auto" w:after="120"/>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line="480" w:lineRule="auto" w:after="120"/>
      </w:pPr>
      <w:r>
        <w:rPr>
          <w:b/>
        </w:rPr>
        <w:t xml:space="preserve">Results: </w:t>
      </w:r>
      <w:r>
        <w:t>In the USA (270,497 crash deaths), a +9°C anomaly raised same-day crash mortality, RR 1.165 (95% CI 1.134-1.196), and remained robust to adjustment for driving activity (RR 1.162, 95% CI 1.132-1.193). The excess was larger for open-air users (motorcyclists RR 2.141, pedestrians RR 1.213) than vehicle occupants (RR 1.050). Net heat-attributable deaths were 513 per year (1.33%), similar to 527 recorded direct-heat deaths (ICD-10 X30); +1 to +3°C warming projected 339-983 additional deaths per year. Japan data (11,576 deaths) were too sparse for a precise estimate.</w:t>
      </w:r>
    </w:p>
    <w:p>
      <w:pPr>
        <w:spacing w:line="480" w:lineRule="auto" w:after="120"/>
      </w:pPr>
      <w:r>
        <w:rPr>
          <w:b/>
        </w:rPr>
        <w:t xml:space="preserve">Discussion: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line="480" w:lineRule="auto" w:after="120"/>
      </w:pPr>
      <w:r>
        <w:rPr>
          <w:b/>
        </w:rPr>
        <w:t xml:space="preserve">Keywords: </w:t>
      </w:r>
      <w:r>
        <w:t>heat; traffic crash; mortality; climate change; road safety; distributed-lag model; environmental health</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a sensitivity analysis for the US we added national vehicle-miles travelled (VMT)</w:t>
      </w:r>
      <w:r>
        <w:rPr>
          <w:vertAlign w:val="superscript"/>
        </w:rPr>
        <w:t>10</w:t>
      </w:r>
      <w:r>
        <w:t xml:space="preserve"> and finished-motor-gasoline product supplied</w:t>
      </w:r>
      <w:r>
        <w:rPr>
          <w:vertAlign w:val="superscript"/>
        </w:rPr>
        <w:t>11</w:t>
      </w:r>
      <w:r>
        <w:t xml:space="preserve"> as activity proxies. Officially recorded direct-heat deaths (International Classification of Diseases, 10th revision [ICD-10] code X30) were obtained from CDC WONDER.</w:t>
      </w:r>
      <w:r>
        <w:rPr>
          <w:vertAlign w:val="superscript"/>
        </w:rPr>
        <w:t>12</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No ethics approval was required because the study used publicly available, aggregated and de-identified data with no individual patient records.</w:t>
      </w:r>
    </w:p>
    <w:p>
      <w:pPr>
        <w:pStyle w:val="Heading1"/>
      </w:pPr>
      <w:r>
        <w:t>Results</w:t>
      </w:r>
    </w:p>
    <w:p>
      <w:pPr>
        <w:spacing w:after="120" w:line="480" w:lineRule="auto"/>
      </w:pPr>
      <w:r>
        <w:t>The panels comprised 270,497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270,497</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1.134-1.196), with a cumulative lag 0-10 RR of 1.074 (95% CI 1.015-1.137).</w:t>
      </w:r>
    </w:p>
    <w:p/>
    <w:p>
      <w:pPr>
        <w:jc w:val="center"/>
      </w:pPr>
      <w:r>
        <w:drawing>
          <wp:inline xmlns:a="http://schemas.openxmlformats.org/drawingml/2006/main" xmlns:pic="http://schemas.openxmlformats.org/drawingml/2006/picture">
            <wp:extent cx="5120640" cy="3957523"/>
            <wp:docPr id="1" name="Picture 1"/>
            <wp:cNvGraphicFramePr>
              <a:graphicFrameLocks noChangeAspect="1"/>
            </wp:cNvGraphicFramePr>
            <a:graphic>
              <a:graphicData uri="http://schemas.openxmlformats.org/drawingml/2006/picture">
                <pic:pic>
                  <pic:nvPicPr>
                    <pic:cNvPr id="0" name="fig1_absolute_exposure_response.png"/>
                    <pic:cNvPicPr/>
                  </pic:nvPicPr>
                  <pic:blipFill>
                    <a:blip r:embed="rId9"/>
                    <a:stretch>
                      <a:fillRect/>
                    </a:stretch>
                  </pic:blipFill>
                  <pic:spPr>
                    <a:xfrm>
                      <a:off x="0" y="0"/>
                      <a:ext cx="5120640" cy="3957523"/>
                    </a:xfrm>
                    <a:prstGeom prst="rect"/>
                  </pic:spPr>
                </pic:pic>
              </a:graphicData>
            </a:graphic>
          </wp:inline>
        </w:drawing>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
      <w:pPr>
        <w:jc w:val="center"/>
      </w:pPr>
      <w:r>
        <w:drawing>
          <wp:inline xmlns:a="http://schemas.openxmlformats.org/drawingml/2006/main" xmlns:pic="http://schemas.openxmlformats.org/drawingml/2006/picture">
            <wp:extent cx="5120640" cy="3760012"/>
            <wp:docPr id="2" name="Picture 2"/>
            <wp:cNvGraphicFramePr>
              <a:graphicFrameLocks noChangeAspect="1"/>
            </wp:cNvGraphicFramePr>
            <a:graphic>
              <a:graphicData uri="http://schemas.openxmlformats.org/drawingml/2006/picture">
                <pic:pic>
                  <pic:nvPicPr>
                    <pic:cNvPr id="0" name="fig2_anomaly_exposure_response.png"/>
                    <pic:cNvPicPr/>
                  </pic:nvPicPr>
                  <pic:blipFill>
                    <a:blip r:embed="rId10"/>
                    <a:stretch>
                      <a:fillRect/>
                    </a:stretch>
                  </pic:blipFill>
                  <pic:spPr>
                    <a:xfrm>
                      <a:off x="0" y="0"/>
                      <a:ext cx="5120640" cy="3760012"/>
                    </a:xfrm>
                    <a:prstGeom prst="rect"/>
                  </pic:spPr>
                </pic:pic>
              </a:graphicData>
            </a:graphic>
          </wp:inline>
        </w:drawing>
      </w:r>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0.934 (0.902-0.967), consistent with short-term displacement (harvesting) rather than a net addition of deaths (Fig. 3; Table 2). The same-day association was essentially unchanged after adjusting for national vehicle-miles travelled and gasoline supplied (RR 1.162, 95% CI 1.132-1.193), suggesting that day-to-day driving volume alone does not explain the effect.</w:t>
      </w:r>
    </w:p>
    <w:p/>
    <w:p>
      <w:pPr>
        <w:jc w:val="center"/>
      </w:pPr>
      <w:r>
        <w:drawing>
          <wp:inline xmlns:a="http://schemas.openxmlformats.org/drawingml/2006/main" xmlns:pic="http://schemas.openxmlformats.org/drawingml/2006/picture">
            <wp:extent cx="5120640" cy="3640399"/>
            <wp:docPr id="3" name="Picture 3"/>
            <wp:cNvGraphicFramePr>
              <a:graphicFrameLocks noChangeAspect="1"/>
            </wp:cNvGraphicFramePr>
            <a:graphic>
              <a:graphicData uri="http://schemas.openxmlformats.org/drawingml/2006/picture">
                <pic:pic>
                  <pic:nvPicPr>
                    <pic:cNvPr id="0" name="fig3_lag_response.png"/>
                    <pic:cNvPicPr/>
                  </pic:nvPicPr>
                  <pic:blipFill>
                    <a:blip r:embed="rId11"/>
                    <a:stretch>
                      <a:fillRect/>
                    </a:stretch>
                  </pic:blipFill>
                  <pic:spPr>
                    <a:xfrm>
                      <a:off x="0" y="0"/>
                      <a:ext cx="5120640" cy="3640399"/>
                    </a:xfrm>
                    <a:prstGeom prst="rect"/>
                  </pic:spPr>
                </pic:pic>
              </a:graphicData>
            </a:graphic>
          </wp:inline>
        </w:drawing>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(1.134-1.196)</w:t>
            </w:r>
          </w:p>
        </w:tc>
        <w:tc>
          <w:tcPr>
            <w:tcW w:type="dxa" w:w="2880"/>
          </w:tcPr>
          <w:p>
            <w:r>
              <w:t>0.940 (0.743-1.190)</w:t>
            </w:r>
          </w:p>
        </w:tc>
      </w:tr>
      <w:tr>
        <w:tc>
          <w:tcPr>
            <w:tcW w:type="dxa" w:w="2880"/>
          </w:tcPr>
          <w:p>
            <w:r>
              <w:t>1-3</w:t>
            </w:r>
          </w:p>
        </w:tc>
        <w:tc>
          <w:tcPr>
            <w:tcW w:type="dxa" w:w="2880"/>
          </w:tcPr>
          <w:p>
            <w:r>
              <w:t>0.934 (0.902-0.967)</w:t>
            </w:r>
          </w:p>
        </w:tc>
        <w:tc>
          <w:tcPr>
            <w:tcW w:type="dxa" w:w="2880"/>
          </w:tcPr>
          <w:p>
            <w:r>
              <w:t>1.146 (0.739-1.779)</w:t>
            </w:r>
          </w:p>
        </w:tc>
      </w:tr>
      <w:tr>
        <w:tc>
          <w:tcPr>
            <w:tcW w:type="dxa" w:w="2880"/>
          </w:tcPr>
          <w:p>
            <w:r>
              <w:t>4-10</w:t>
            </w:r>
          </w:p>
        </w:tc>
        <w:tc>
          <w:tcPr>
            <w:tcW w:type="dxa" w:w="2880"/>
          </w:tcPr>
          <w:p>
            <w:r>
              <w:t>0.988 (0.941-1.037)</w:t>
            </w:r>
          </w:p>
        </w:tc>
        <w:tc>
          <w:tcPr>
            <w:tcW w:type="dxa" w:w="2880"/>
          </w:tcPr>
          <w:p>
            <w:r>
              <w:t>0.521 (0.217-1.249)</w:t>
            </w:r>
          </w:p>
        </w:tc>
      </w:tr>
      <w:tr>
        <w:tc>
          <w:tcPr>
            <w:tcW w:type="dxa" w:w="2880"/>
          </w:tcPr>
          <w:p>
            <w:r>
              <w:t>Cumulative 0-10</w:t>
            </w:r>
          </w:p>
        </w:tc>
        <w:tc>
          <w:tcPr>
            <w:tcW w:type="dxa" w:w="2880"/>
          </w:tcPr>
          <w:p>
            <w:r>
              <w:t>1.074 (95% CI 1.015-1.137)</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(1.016-1.085), but much larger for open-air users: motorcyclists, RR 2.141 (2.000-2.292); pedestrians, RR 1.213 (1.145-1.286); and cyclists, RR 1.237 (1.032-1.484), a pattern consistent with direct bodily heat exposure and physical exertion.</w:t>
      </w:r>
      <w:r>
        <w:rPr>
          <w:vertAlign w:val="superscript"/>
        </w:rPr>
        <w:t>13</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(1.059-1.191); 25-64 y RR 1.177 (1.140-1.216); 65+ y RR 1.167 (1.104-1.234) (Table 3), giving no clear age gradient. Second, the excess was largest for crashes in the hottest part of the day (12-17 h), RR 1.212 (1.155-1.272), and weakest in the cool morning (06-11 h), RR 1.062 (1.000-1.127); the overnight band was also elevated (00-05 h), RR 1.179 (1.110-1.253), so the diurnal pattern is not a clean daytime-only gradient (Fig. 5). These subgroup analyses are hypothesis-generating: they involve multiple unadjusted comparisons and are not individual-level tests of susceptibility or mechanism.</w:t>
      </w:r>
    </w:p>
    <w:p/>
    <w:p>
      <w:pPr>
        <w:jc w:val="center"/>
      </w:pPr>
      <w:r>
        <w:drawing>
          <wp:inline xmlns:a="http://schemas.openxmlformats.org/drawingml/2006/main" xmlns:pic="http://schemas.openxmlformats.org/drawingml/2006/picture">
            <wp:extent cx="5120640" cy="3329646"/>
            <wp:docPr id="4" name="Picture 4"/>
            <wp:cNvGraphicFramePr>
              <a:graphicFrameLocks noChangeAspect="1"/>
            </wp:cNvGraphicFramePr>
            <a:graphic>
              <a:graphicData uri="http://schemas.openxmlformats.org/drawingml/2006/picture">
                <pic:pic>
                  <pic:nvPicPr>
                    <pic:cNvPr id="0" name="fig_us_roaduser.png"/>
                    <pic:cNvPicPr/>
                  </pic:nvPicPr>
                  <pic:blipFill>
                    <a:blip r:embed="rId12"/>
                    <a:stretch>
                      <a:fillRect/>
                    </a:stretch>
                  </pic:blipFill>
                  <pic:spPr>
                    <a:xfrm>
                      <a:off x="0" y="0"/>
                      <a:ext cx="5120640" cy="3329646"/>
                    </a:xfrm>
                    <a:prstGeom prst="rect"/>
                  </pic:spPr>
                </pic:pic>
              </a:graphicData>
            </a:graphic>
          </wp:inline>
        </w:drawing>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178,365</w:t>
            </w:r>
          </w:p>
        </w:tc>
        <w:tc>
          <w:tcPr>
            <w:tcW w:type="dxa" w:w="2880"/>
          </w:tcPr>
          <w:p>
            <w:r>
              <w:t>1.050 (1.016-1.085)</w:t>
            </w:r>
          </w:p>
        </w:tc>
      </w:tr>
      <w:tr>
        <w:tc>
          <w:tcPr>
            <w:tcW w:type="dxa" w:w="2880"/>
          </w:tcPr>
          <w:p>
            <w:r>
              <w:t>Motorcyclist</w:t>
            </w:r>
          </w:p>
        </w:tc>
        <w:tc>
          <w:tcPr>
            <w:tcW w:type="dxa" w:w="2880"/>
          </w:tcPr>
          <w:p>
            <w:r>
              <w:t>38,248</w:t>
            </w:r>
          </w:p>
        </w:tc>
        <w:tc>
          <w:tcPr>
            <w:tcW w:type="dxa" w:w="2880"/>
          </w:tcPr>
          <w:p>
            <w:r>
              <w:t>2.141 (2.000-2.292)</w:t>
            </w:r>
          </w:p>
        </w:tc>
      </w:tr>
      <w:tr>
        <w:tc>
          <w:tcPr>
            <w:tcW w:type="dxa" w:w="2880"/>
          </w:tcPr>
          <w:p>
            <w:r>
              <w:t>Pedestrian</w:t>
            </w:r>
          </w:p>
        </w:tc>
        <w:tc>
          <w:tcPr>
            <w:tcW w:type="dxa" w:w="2880"/>
          </w:tcPr>
          <w:p>
            <w:r>
              <w:t>46,022</w:t>
            </w:r>
          </w:p>
        </w:tc>
        <w:tc>
          <w:tcPr>
            <w:tcW w:type="dxa" w:w="2880"/>
          </w:tcPr>
          <w:p>
            <w:r>
              <w:t>1.213 (1.145-1.286)</w:t>
            </w:r>
          </w:p>
        </w:tc>
      </w:tr>
      <w:tr>
        <w:tc>
          <w:tcPr>
            <w:tcW w:type="dxa" w:w="2880"/>
          </w:tcPr>
          <w:p>
            <w:r>
              <w:t>Cyclist</w:t>
            </w:r>
          </w:p>
        </w:tc>
        <w:tc>
          <w:tcPr>
            <w:tcW w:type="dxa" w:w="2880"/>
          </w:tcPr>
          <w:p>
            <w:r>
              <w:t>6,356</w:t>
            </w:r>
          </w:p>
        </w:tc>
        <w:tc>
          <w:tcPr>
            <w:tcW w:type="dxa" w:w="2880"/>
          </w:tcPr>
          <w:p>
            <w:r>
              <w:t>1.237 (1.032-1.484)</w:t>
            </w:r>
          </w:p>
        </w:tc>
      </w:tr>
      <w:tr>
        <w:tc>
          <w:tcPr>
            <w:tcW w:type="dxa" w:w="2880"/>
          </w:tcPr>
          <w:p>
            <w:r>
              <w:t>Age &lt;25 y</w:t>
            </w:r>
          </w:p>
        </w:tc>
        <w:tc>
          <w:tcPr>
            <w:tcW w:type="dxa" w:w="2880"/>
          </w:tcPr>
          <w:p>
            <w:r>
              <w:t>54,003</w:t>
            </w:r>
          </w:p>
        </w:tc>
        <w:tc>
          <w:tcPr>
            <w:tcW w:type="dxa" w:w="2880"/>
          </w:tcPr>
          <w:p>
            <w:r>
              <w:t>1.123 (1.059-1.191)</w:t>
            </w:r>
          </w:p>
        </w:tc>
      </w:tr>
      <w:tr>
        <w:tc>
          <w:tcPr>
            <w:tcW w:type="dxa" w:w="2880"/>
          </w:tcPr>
          <w:p>
            <w:r>
              <w:t>Age 25-64 y</w:t>
            </w:r>
          </w:p>
        </w:tc>
        <w:tc>
          <w:tcPr>
            <w:tcW w:type="dxa" w:w="2880"/>
          </w:tcPr>
          <w:p>
            <w:r>
              <w:t>166,699</w:t>
            </w:r>
          </w:p>
        </w:tc>
        <w:tc>
          <w:tcPr>
            <w:tcW w:type="dxa" w:w="2880"/>
          </w:tcPr>
          <w:p>
            <w:r>
              <w:t>1.177 (1.140-1.216)</w:t>
            </w:r>
          </w:p>
        </w:tc>
      </w:tr>
      <w:tr>
        <w:tc>
          <w:tcPr>
            <w:tcW w:type="dxa" w:w="2880"/>
          </w:tcPr>
          <w:p>
            <w:r>
              <w:t>Age 65+ y</w:t>
            </w:r>
          </w:p>
        </w:tc>
        <w:tc>
          <w:tcPr>
            <w:tcW w:type="dxa" w:w="2880"/>
          </w:tcPr>
          <w:p>
            <w:r>
              <w:t>49,680</w:t>
            </w:r>
          </w:p>
        </w:tc>
        <w:tc>
          <w:tcPr>
            <w:tcW w:type="dxa" w:w="2880"/>
          </w:tcPr>
          <w:p>
            <w:r>
              <w:t>1.167 (1.104-1.234)</w:t>
            </w:r>
          </w:p>
        </w:tc>
      </w:tr>
    </w:tbl>
    <w:p/>
    <w:p/>
    <w:p>
      <w:pPr>
        <w:jc w:val="center"/>
      </w:pPr>
      <w:r>
        <w:drawing>
          <wp:inline xmlns:a="http://schemas.openxmlformats.org/drawingml/2006/main" xmlns:pic="http://schemas.openxmlformats.org/drawingml/2006/picture">
            <wp:extent cx="5120640" cy="3874497"/>
            <wp:docPr id="5" name="Picture 5"/>
            <wp:cNvGraphicFramePr>
              <a:graphicFrameLocks noChangeAspect="1"/>
            </wp:cNvGraphicFramePr>
            <a:graphic>
              <a:graphicData uri="http://schemas.openxmlformats.org/drawingml/2006/picture">
                <pic:pic>
                  <pic:nvPicPr>
                    <pic:cNvPr id="0" name="fig_us_timeofday.png"/>
                    <pic:cNvPicPr/>
                  </pic:nvPicPr>
                  <pic:blipFill>
                    <a:blip r:embed="rId13"/>
                    <a:stretch>
                      <a:fillRect/>
                    </a:stretch>
                  </pic:blipFill>
                  <pic:spPr>
                    <a:xfrm>
                      <a:off x="0" y="0"/>
                      <a:ext cx="5120640" cy="3874497"/>
                    </a:xfrm>
                    <a:prstGeom prst="rect"/>
                  </pic:spPr>
                </pic:pic>
              </a:graphicData>
            </a:graphic>
          </wp:inline>
        </w:drawing>
      </w:r>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w:t>
      </w:r>
    </w:p>
    <w:p/>
    <w:p>
      <w:pPr>
        <w:spacing w:after="120" w:line="480" w:lineRule="auto"/>
      </w:pPr>
      <w:r>
        <w:t>Net heat-attributable crash deaths were 513 per year (95% CI 410-615), an attributable fraction of 1.33% (Fig. 6; Table 4). This is of the same order as the 527 officially recorded direct-heat deaths per year (ICD-10 X30, 2016-2020; Fig. 7), so a heat contribution to road deaths on the scale of recorded direct-heat mortality could go unrecorded in cause-of-death statistics.</w:t>
      </w:r>
    </w:p>
    <w:p/>
    <w:p>
      <w:pPr>
        <w:jc w:val="center"/>
      </w:pPr>
      <w:r>
        <w:drawing>
          <wp:inline xmlns:a="http://schemas.openxmlformats.org/drawingml/2006/main" xmlns:pic="http://schemas.openxmlformats.org/drawingml/2006/picture">
            <wp:extent cx="5120640" cy="3918339"/>
            <wp:docPr id="6" name="Picture 6"/>
            <wp:cNvGraphicFramePr>
              <a:graphicFrameLocks noChangeAspect="1"/>
            </wp:cNvGraphicFramePr>
            <a:graphic>
              <a:graphicData uri="http://schemas.openxmlformats.org/drawingml/2006/picture">
                <pic:pic>
                  <pic:nvPicPr>
                    <pic:cNvPr id="0" name="fig4_attributable_by_year.png"/>
                    <pic:cNvPicPr/>
                  </pic:nvPicPr>
                  <pic:blipFill>
                    <a:blip r:embed="rId14"/>
                    <a:stretch>
                      <a:fillRect/>
                    </a:stretch>
                  </pic:blipFill>
                  <pic:spPr>
                    <a:xfrm>
                      <a:off x="0" y="0"/>
                      <a:ext cx="5120640" cy="3918339"/>
                    </a:xfrm>
                    <a:prstGeom prst="rect"/>
                  </pic:spPr>
                </pic:pic>
              </a:graphicData>
            </a:graphic>
          </wp:inline>
        </w:drawing>
      </w:r>
    </w:p>
    <w:p>
      <w:pPr>
        <w:spacing w:before="280"/>
      </w:pPr>
      <w:r>
        <w:rPr>
          <w:b/>
        </w:rPr>
        <w:t xml:space="preserve">Figure 6. </w:t>
      </w:r>
      <w:r>
        <w:t>United States estimated net heat-attributable crash deaths per year, 2016-2022.</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513</w:t>
            </w:r>
          </w:p>
        </w:tc>
      </w:tr>
      <w:tr>
        <w:tc>
          <w:tcPr>
            <w:tcW w:type="dxa" w:w="4320"/>
          </w:tcPr>
          <w:p>
            <w:r>
              <w:t>Attributable fraction (%)</w:t>
            </w:r>
          </w:p>
        </w:tc>
        <w:tc>
          <w:tcPr>
            <w:tcW w:type="dxa" w:w="4320"/>
          </w:tcPr>
          <w:p>
            <w:r>
              <w:t>1.33</w:t>
            </w:r>
          </w:p>
        </w:tc>
      </w:tr>
      <w:tr>
        <w:tc>
          <w:tcPr>
            <w:tcW w:type="dxa" w:w="4320"/>
          </w:tcPr>
          <w:p>
            <w:r>
              <w:t>Official direct-heat deaths / year (X30, 2016-2020)</w:t>
            </w:r>
          </w:p>
        </w:tc>
        <w:tc>
          <w:tcPr>
            <w:tcW w:type="dxa" w:w="4320"/>
          </w:tcPr>
          <w:p>
            <w:r>
              <w:t>527</w:t>
            </w:r>
          </w:p>
        </w:tc>
      </w:tr>
    </w:tbl>
    <w:p/>
    <w:p/>
    <w:p>
      <w:pPr>
        <w:jc w:val="center"/>
      </w:pPr>
      <w:r>
        <w:drawing>
          <wp:inline xmlns:a="http://schemas.openxmlformats.org/drawingml/2006/main" xmlns:pic="http://schemas.openxmlformats.org/drawingml/2006/picture">
            <wp:extent cx="5120640" cy="3889368"/>
            <wp:docPr id="7" name="Picture 7"/>
            <wp:cNvGraphicFramePr>
              <a:graphicFrameLocks noChangeAspect="1"/>
            </wp:cNvGraphicFramePr>
            <a:graphic>
              <a:graphicData uri="http://schemas.openxmlformats.org/drawingml/2006/picture">
                <pic:pic>
                  <pic:nvPicPr>
                    <pic:cNvPr id="0" name="fig5_hidden_vs_official.png"/>
                    <pic:cNvPicPr/>
                  </pic:nvPicPr>
                  <pic:blipFill>
                    <a:blip r:embed="rId15"/>
                    <a:stretch>
                      <a:fillRect/>
                    </a:stretch>
                  </pic:blipFill>
                  <pic:spPr>
                    <a:xfrm>
                      <a:off x="0" y="0"/>
                      <a:ext cx="5120640" cy="3889368"/>
                    </a:xfrm>
                    <a:prstGeom prst="rect"/>
                  </pic:spPr>
                </pic:pic>
              </a:graphicData>
            </a:graphic>
          </wp:inline>
        </w:drawing>
      </w:r>
    </w:p>
    <w:p>
      <w:pPr>
        <w:spacing w:before="280"/>
      </w:pPr>
      <w:r>
        <w:rPr>
          <w:b/>
        </w:rPr>
        <w:t xml:space="preserve">Figure 7. </w:t>
      </w:r>
      <w:r>
        <w:t>United States comparison of estimated net heat-attributable crash deaths per year with officially recorded direct-heat deaths (ICD-10 X30) from CDC WONDER.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14</w:t>
      </w:r>
      <w:r>
        <w:t xml:space="preserve"> A uniform +1 °C shift projected 339 additional US crash deaths per year (95% CI 250-428), rising to 983 (644-1356) at +3 °C (Fig. 8; Table 5). These are scenario projections, not observed quantities, and assume the anomaly response is stable under a warmer mean climate.</w:t>
      </w:r>
    </w:p>
    <w:p/>
    <w:p>
      <w:pPr>
        <w:jc w:val="center"/>
      </w:pPr>
      <w:r>
        <w:drawing>
          <wp:inline xmlns:a="http://schemas.openxmlformats.org/drawingml/2006/main" xmlns:pic="http://schemas.openxmlformats.org/drawingml/2006/picture">
            <wp:extent cx="5120640" cy="3852943"/>
            <wp:docPr id="8" name="Picture 8"/>
            <wp:cNvGraphicFramePr>
              <a:graphicFrameLocks noChangeAspect="1"/>
            </wp:cNvGraphicFramePr>
            <a:graphic>
              <a:graphicData uri="http://schemas.openxmlformats.org/drawingml/2006/picture">
                <pic:pic>
                  <pic:nvPicPr>
                    <pic:cNvPr id="0" name="fig_us_projection.png"/>
                    <pic:cNvPicPr/>
                  </pic:nvPicPr>
                  <pic:blipFill>
                    <a:blip r:embed="rId16"/>
                    <a:stretch>
                      <a:fillRect/>
                    </a:stretch>
                  </pic:blipFill>
                  <pic:spPr>
                    <a:xfrm>
                      <a:off x="0" y="0"/>
                      <a:ext cx="5120640" cy="3852943"/>
                    </a:xfrm>
                    <a:prstGeom prst="rect"/>
                  </pic:spPr>
                </pic:pic>
              </a:graphicData>
            </a:graphic>
          </wp:inline>
        </w:drawing>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339 (250-428)</w:t>
            </w:r>
          </w:p>
        </w:tc>
      </w:tr>
      <w:tr>
        <w:tc>
          <w:tcPr>
            <w:tcW w:type="dxa" w:w="4320"/>
          </w:tcPr>
          <w:p>
            <w:r>
              <w:t>+2°C</w:t>
            </w:r>
          </w:p>
        </w:tc>
        <w:tc>
          <w:tcPr>
            <w:tcW w:type="dxa" w:w="4320"/>
          </w:tcPr>
          <w:p>
            <w:r>
              <w:t>661 (459-864)</w:t>
            </w:r>
          </w:p>
        </w:tc>
      </w:tr>
      <w:tr>
        <w:tc>
          <w:tcPr>
            <w:tcW w:type="dxa" w:w="4320"/>
          </w:tcPr>
          <w:p>
            <w:r>
              <w:t>+3°C</w:t>
            </w:r>
          </w:p>
        </w:tc>
        <w:tc>
          <w:tcPr>
            <w:tcW w:type="dxa" w:w="4320"/>
          </w:tcPr>
          <w:p>
            <w:r>
              <w:t>983 (644-1356)</w:t>
            </w:r>
          </w:p>
        </w:tc>
      </w:tr>
    </w:tbl>
    <w:p/>
    <w:p>
      <w:pPr>
        <w:pStyle w:val="Heading2"/>
      </w:pPr>
      <w:r>
        <w:t>Exploratory Japan comparison</w:t>
      </w:r>
    </w:p>
    <w:p>
      <w:pPr>
        <w:spacing w:after="120" w:line="480" w:lineRule="auto"/>
      </w:pPr>
      <w:r>
        <w:t>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
      <w:pPr>
        <w:jc w:val="center"/>
      </w:pPr>
      <w:r>
        <w:drawing>
          <wp:inline xmlns:a="http://schemas.openxmlformats.org/drawingml/2006/main" xmlns:pic="http://schemas.openxmlformats.org/drawingml/2006/picture">
            <wp:extent cx="5120640" cy="3660652"/>
            <wp:docPr id="9" name="Picture 9"/>
            <wp:cNvGraphicFramePr>
              <a:graphicFrameLocks noChangeAspect="1"/>
            </wp:cNvGraphicFramePr>
            <a:graphic>
              <a:graphicData uri="http://schemas.openxmlformats.org/drawingml/2006/picture">
                <pic:pic>
                  <pic:nvPicPr>
                    <pic:cNvPr id="0" name="jp_fig2_anomaly_exposure_response.png"/>
                    <pic:cNvPicPr/>
                  </pic:nvPicPr>
                  <pic:blipFill>
                    <a:blip r:embed="rId17"/>
                    <a:stretch>
                      <a:fillRect/>
                    </a:stretch>
                  </pic:blipFill>
                  <pic:spPr>
                    <a:xfrm>
                      <a:off x="0" y="0"/>
                      <a:ext cx="5120640" cy="3660652"/>
                    </a:xfrm>
                    <a:prstGeom prst="rect"/>
                  </pic:spPr>
                </pic:pic>
              </a:graphicData>
            </a:graphic>
          </wp:inline>
        </w:drawing>
      </w:r>
    </w:p>
    <w:p>
      <w:pPr>
        <w:spacing w:before="280"/>
      </w:pPr>
      <w:r>
        <w:rPr>
          <w:b/>
        </w:rPr>
        <w:t xml:space="preserve">Figure 9. </w:t>
      </w:r>
      <w:r>
        <w:t>Japan temperature-anomaly exposure-response (2019-2024). The estimate is imprecise: the confidence band is wide and includes the null throughout.</w:t>
      </w:r>
    </w:p>
    <w:p/>
    <w:p/>
    <w:p>
      <w:pPr>
        <w:jc w:val="center"/>
      </w:pPr>
      <w:r>
        <w:drawing>
          <wp:inline xmlns:a="http://schemas.openxmlformats.org/drawingml/2006/main" xmlns:pic="http://schemas.openxmlformats.org/drawingml/2006/picture">
            <wp:extent cx="5120640" cy="3761953"/>
            <wp:docPr id="10" name="Picture 10"/>
            <wp:cNvGraphicFramePr>
              <a:graphicFrameLocks noChangeAspect="1"/>
            </wp:cNvGraphicFramePr>
            <a:graphic>
              <a:graphicData uri="http://schemas.openxmlformats.org/drawingml/2006/picture">
                <pic:pic>
                  <pic:nvPicPr>
                    <pic:cNvPr id="0" name="cross_fig_us_vs_japan_sameday.png"/>
                    <pic:cNvPicPr/>
                  </pic:nvPicPr>
                  <pic:blipFill>
                    <a:blip r:embed="rId18"/>
                    <a:stretch>
                      <a:fillRect/>
                    </a:stretch>
                  </pic:blipFill>
                  <pic:spPr>
                    <a:xfrm>
                      <a:off x="0" y="0"/>
                      <a:ext cx="5120640" cy="3761953"/>
                    </a:xfrm>
                    <a:prstGeom prst="rect"/>
                  </pic:spPr>
                </pic:pic>
              </a:graphicData>
            </a:graphic>
          </wp:inline>
        </w:drawing>
      </w:r>
    </w:p>
    <w:p>
      <w:pPr>
        <w:spacing w:before="280"/>
      </w:pPr>
      <w:r>
        <w:rPr>
          <w:b/>
        </w:rPr>
        <w:t xml:space="preserve">Figure 10. </w:t>
      </w:r>
      <w:r>
        <w:t>Same-day rate ratio of traffic-crash deaths for a +9 °C anomaly, United States versus Japan. The US shows a precise acute effect; the Japanese estimate is underpowered.</w:t>
      </w:r>
    </w:p>
    <w:p/>
    <w:p>
      <w:pPr>
        <w:pStyle w:val="Heading1"/>
      </w:pPr>
      <w:r>
        <w:t>Discussion</w:t>
      </w:r>
    </w:p>
    <w:p>
      <w:pPr>
        <w:spacing w:after="120" w:line="480" w:lineRule="auto"/>
      </w:pPr>
      <w:r>
        <w:t>A +9 °C temperature anomaly was associated with a same-day rate ratio of 1.165 (95% CI 1.134-1.196) for US traffic-crash deaths, and the net annual heat-attributable burden was 513 deaths (95% CI 410-615), similar to the 527 officially recorded direct-heat deaths per year. This acute, same-day excess was not explained by aggregate driving activity, and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FARS and NPA carry no post-mortem heat diagnosis. Second, activity adjustment used national, not daily state-level, proxies. Third, exposure is measured at the spatial-unit level and misclassifies individual exposure. Fourth, the Japanese analysis is underpowered and inconclusive; its shorter series, far smaller death counts and sparser GHCN-Daily coverage preclude a firm estimate, and we therefore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Finally, we used a quasi-Poisson dispersion parameter but did not model residual serial correlation explicitly, which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Acknowledgments</w:t>
      </w:r>
    </w:p>
    <w:p>
      <w:pPr>
        <w:spacing w:after="120"/>
      </w:pPr>
      <w:r>
        <w:t>None declared.</w:t>
      </w:r>
    </w:p>
    <w:p>
      <w:pPr>
        <w:pStyle w:val="Heading1"/>
      </w:pPr>
      <w:r>
        <w:t>Author Contributions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AI Disclosure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Lavigne E, Zanobetti A, Schwartz J, et al. 2015. Mortality risk attributable to high and low ambient temperature: a multicountry observational study. Lancet 386(9991):369-375, PMID: 26003380, 10.1016/S0140-6736(14)62114-0.</w:t>
      </w:r>
    </w:p>
    <w:p>
      <w:pPr>
        <w:spacing w:after="80"/>
      </w:pPr>
      <w:r>
        <w:t>2. Basu R. 2009. High ambient temperature and mortality: a review of epidemiologic studies from 2001 to 2008. Environ Health 8:40, PMID: 19758453, 10.1186/1476-069X-8-40.</w:t>
      </w:r>
    </w:p>
    <w:p>
      <w:pPr>
        <w:spacing w:after="80"/>
      </w:pPr>
      <w:r>
        <w:t>3. Liang M, Min M, Guo X, Song Q, Wang H, Li N, et al. 2022. The relationship between ambient temperatures and road traffic injuries: a systematic review and meta-analysis. Environ Sci Pollut Res 29(33):50647-50660, PMID: 35235122, 10.1007/s11356-022-19437-y.</w:t>
      </w:r>
    </w:p>
    <w:p>
      <w:pPr>
        <w:spacing w:after="80"/>
      </w:pPr>
      <w:r>
        <w:t>4. Liang M, Zhao D, Wu Y, Ye P, Wang Y, Yao Z, et al. 2021. Short-term effects of ambient temperature and road traffic accident injuries in Dalian, Northern China: A distributed lag non-linear analysis. Accid Anal Prev 153:106057, PMID: 33647596, 10.1016/j.aap.2021.106057.</w:t>
      </w:r>
    </w:p>
    <w:p>
      <w:pPr>
        <w:spacing w:after="80"/>
      </w:pPr>
      <w:r>
        <w:t>5. National Highway Traffic Safety Administration. n.d. Fatality Analysis Reporting System (FARS). https://www.nhtsa.gov/research-data/fatality-analysis-reporting-system-fars [accessed 22 August 2026].</w:t>
      </w:r>
    </w:p>
    <w:p>
      <w:pPr>
        <w:spacing w:after="80"/>
      </w:pPr>
      <w:r>
        <w:t>6. National Police Agency of Japan. n.d. Traffic accident statistics open data. https://www.npa.go.jp/publications/statistics/koutsuu/opendata/ [accessed 22 August 2026].</w:t>
      </w:r>
    </w:p>
    <w:p>
      <w:pPr>
        <w:spacing w:after="80"/>
      </w:pPr>
      <w:r>
        <w:t>7. Menne MJ, Durre I, Vose RS, Gleason BE, Houston TG. 2012. An overview of the Global Historical Climatology Network-Daily database. J Atmos Ocean Technol 29(7):897-910, 10.1175/JTECH-D-11-00103.1.</w:t>
      </w:r>
    </w:p>
    <w:p>
      <w:pPr>
        <w:spacing w:after="80"/>
      </w:pPr>
      <w:r>
        <w:t>8. Gasparrini A, Armstrong B, Kenward MG. 2010. Distributed lag non-linear models. Stat Med 29(21):2224-2234, PMID: 20812303, 10.1002/sim.3940.</w:t>
      </w:r>
    </w:p>
    <w:p>
      <w:pPr>
        <w:spacing w:after="80"/>
      </w:pPr>
      <w:r>
        <w:t>9. Gasparrini A, Leone M. 2014. Attributable risk from distributed lag models. BMC Med Res Methodol 14:55, PMID: 24758509, 10.1186/1471-2288-14-55.</w:t>
      </w:r>
    </w:p>
    <w:p>
      <w:pPr>
        <w:spacing w:after="80"/>
      </w:pPr>
      <w:r>
        <w:t>10. Federal Highway Administration. n.d. Traffic Volume Trends. https://www.fhwa.dot.gov/policyinformation/travel_monitoring/tvt.cfm [accessed 22 August 2026].</w:t>
      </w:r>
    </w:p>
    <w:p>
      <w:pPr>
        <w:spacing w:after="80"/>
      </w:pPr>
      <w:r>
        <w:t>11. US Energy Information Administration. n.d. Weekly finished motor gasoline product supplied (PET.WGFUPUS2.W). https://www.eia.gov/ [accessed 22 August 2026].</w:t>
      </w:r>
    </w:p>
    <w:p>
      <w:pPr>
        <w:spacing w:after="80"/>
      </w:pPr>
      <w:r>
        <w:t>12. Centers for Disease Control and Prevention. n.d. CDC WONDER Underlying Cause of Death database. https://wonder.cdc.gov/ [accessed 22 August 2026].</w:t>
      </w:r>
    </w:p>
    <w:p>
      <w:pPr>
        <w:spacing w:after="80"/>
      </w:pPr>
      <w:r>
        <w:t>13. Daanen HAM, van de Vliert E, Huang X. 2003. Driving performance in cold, warm, and thermoneutral environments. Appl Ergon 34(6):597-602, PMID: 14559420, 10.1016/S0003-6870(03)00055-3.</w:t>
      </w:r>
    </w:p>
    <w:p>
      <w:pPr>
        <w:spacing w:after="80"/>
      </w:pPr>
      <w:r>
        <w:t>14. IPCC. 2021. Climate Change 2021: The Physical Science Basis. Contribution of Working Group I to the Sixth Assessment Report of the Intergovernmental Panel on Climate Change. Cambridge: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