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(270,497 crash deaths), a +9°C anomaly raised same-day crash mortality, RR 1.165 (95% CI 1.134-1.196), and remained robust to adjustment for driving activity (RR 1.162, 95% CI 1.132-1.193). The excess was larger for open-air users (motorcyclists RR 2.141, pedestrians RR 1.213) than vehicle occupants (RR 1.050). Net heat-attributable deaths were 513 per year (1.33%), similar to 527 recorded direct-heat deaths (ICD-10 X30); +1 to +3°C warming projected 339-983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a sensitivity analysis for the US we added national vehicle-miles travelled (VMT)</w:t>
      </w:r>
      <w:r>
        <w:rPr>
          <w:vertAlign w:val="superscript"/>
        </w:rPr>
        <w:t>10</w:t>
      </w:r>
      <w:r>
        <w:t xml:space="preserve"> and finished-motor-gasoline product supplied</w:t>
      </w:r>
      <w:r>
        <w:rPr>
          <w:vertAlign w:val="superscript"/>
        </w:rPr>
        <w:t>11</w:t>
      </w:r>
      <w:r>
        <w:t xml:space="preserve"> as activity proxies. Officially recorded direct-heat deaths (International Classification of Diseases, 10th revision [ICD-10] code X30) were obtained from CDC WONDER.</w:t>
      </w:r>
      <w:r>
        <w:rPr>
          <w:vertAlign w:val="superscript"/>
        </w:rPr>
        <w:t>12</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No ethics approval was required because the study used publicly available, aggregated and de-identified data with no individual patient records.</w:t>
      </w:r>
    </w:p>
    <w:p>
      <w:pPr>
        <w:pStyle w:val="Heading1"/>
      </w:pPr>
      <w:r>
        <w:t>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suggesting that day-to-day driving volume alone does not explain the effect.</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much larger for open-air users: motorcyclists, RR 2.141 (2.000-2.292); pedestrians, RR 1.213 (1.145-1.286); and cyclists, RR 1.237 (1.032-1.484), a pattern consistent with direct bodily heat exposure and physical exertion.</w:t>
      </w:r>
      <w:r>
        <w:rPr>
          <w:vertAlign w:val="superscript"/>
        </w:rPr>
        <w:t>13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14</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Japan comparison</w:t>
      </w:r>
    </w:p>
    <w:p>
      <w:pPr>
        <w:spacing w:after="120" w:line="480" w:lineRule="auto"/>
      </w:pPr>
      <w:r>
        <w:t>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w:t>
      </w:r>
    </w:p>
    <w:p/>
    <w:p>
      <w:pPr>
        <w:spacing w:before="280"/>
      </w:pPr>
      <w:r>
        <w:rPr>
          <w:b/>
        </w:rPr>
        <w:t xml:space="preserve">Figure 10. </w:t>
      </w:r>
      <w:r>
        <w:t>Same-day rate ratio of traffic-crash deaths for a +9 °C anomaly, United States versus Japan. The US shows a precise acute effect; the Japanese estimate is underpowered.</w:t>
      </w:r>
    </w:p>
    <w:p/>
    <w:p>
      <w:pPr>
        <w:pStyle w:val="Heading1"/>
      </w:pPr>
      <w:r>
        <w:t>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FARS and NPA carry no post-mortem heat diagnosis. Second, activity adjustment used national, not daily state-level, proxies. Third, exposure is measured at the spatial-unit level and misclassifies individual exposure. Fourth, the Japanese analysis is underpowered and inconclusive; its shorter series, far smaller death counts and sparser GHCN-Daily coverage preclude a firm estimate, and we therefore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Finally, we used a quasi-Poisson dispersion parameter but did not model residual serial correlation explicitly, which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Centers for Disease Control and Prevention. CDC WONDER Underlying Cause of Death database. https://wonder.cdc.gov/</w:t>
      </w:r>
    </w:p>
    <w:p>
      <w:pPr>
        <w:spacing w:after="80"/>
      </w:pPr>
      <w:r>
        <w:t>13. Daanen HAM, van de Vliert E, Huang X. Driving performance in cold, warm, and thermoneutral environments. Appl Ergon 2003;34:597-602.</w:t>
      </w:r>
    </w:p>
    <w:p>
      <w:pPr>
        <w:spacing w:after="80"/>
      </w:pPr>
      <w:r>
        <w:t>14.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