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(270,497 crash deaths), a +9°C anomaly raised same-day crash mortality, RR 1.165 (95% CI 1.134-1.196), and remained robust to adjustment for driving activity (RR 1.162, 95% CI 1.132-1.193). The excess was larger for open-air users (motorcyclists RR 2.141, pedestrians RR 1.213) than vehicle occupants (RR 1.050). Net heat-attributable deaths were 513 per year (1.33%), similar to 527 recorded direct-heat deaths (ICD-10 X30); +1 to +3°C warming projected 339-983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a sensitivity analysis for the US we added national vehicle-miles travelled (VMT)</w:t>
      </w:r>
      <w:r>
        <w:rPr>
          <w:vertAlign w:val="superscript"/>
        </w:rPr>
        <w:t>10</w:t>
      </w:r>
      <w:r>
        <w:t xml:space="preserve"> and finished-motor-gasoline product supplied</w:t>
      </w:r>
      <w:r>
        <w:rPr>
          <w:vertAlign w:val="superscript"/>
        </w:rPr>
        <w:t>11</w:t>
      </w:r>
      <w:r>
        <w:t xml:space="preserve"> as activity proxies. Officially recorded direct-heat deaths (International Classification of Diseases, 10th revision [ICD-10] code X30) were obtained from CDC WONDER.</w:t>
      </w:r>
      <w:r>
        <w:rPr>
          <w:vertAlign w:val="superscript"/>
        </w:rPr>
        <w:t>12</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No ethics approval was required because the study used publicly available, aggregated and de-identified data with no individual patient records.</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suggesting that day-to-day driving volume alone does not explain the effect.</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(1.016-1.085), but much larger for open-air users: motorcyclists, RR 2.141 (2.000-2.292); pedestrians, RR 1.213 (1.145-1.286); and cyclists, RR 1.237 (1.032-1.484), a pattern consistent with direct bodily heat exposure and physical exertion.</w:t>
      </w:r>
      <w:r>
        <w:rPr>
          <w:vertAlign w:val="superscript"/>
        </w:rPr>
        <w:t>13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(1.140-1.216); 65+ y RR 1.167 (1.104-1.234) (Table 3), giving no clear age gradient. Second, the excess was largest for crashes in the hottest part of the day (12-17 h), RR 1.212 (1.155-1.272), and weakest in the cool morning (06-11 h), RR 1.062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(1.016-1.085)</w:t>
            </w:r>
          </w:p>
        </w:tc>
      </w:tr>
      <w:tr>
        <w:tc>
          <w:tcPr>
            <w:tcW w:type="dxa" w:w="2880"/>
          </w:tcPr>
          <w:p>
            <w:r>
              <w:t>Motorcyclist</w:t>
            </w:r>
          </w:p>
        </w:tc>
        <w:tc>
          <w:tcPr>
            <w:tcW w:type="dxa" w:w="2880"/>
          </w:tcPr>
          <w:p>
            <w:r>
              <w:t>38,248</w:t>
            </w:r>
          </w:p>
        </w:tc>
        <w:tc>
          <w:tcPr>
            <w:tcW w:type="dxa" w:w="2880"/>
          </w:tcPr>
          <w:p>
            <w:r>
              <w:t>2.141 (2.000-2.292)</w:t>
            </w:r>
          </w:p>
        </w:tc>
      </w:tr>
      <w:tr>
        <w:tc>
          <w:tcPr>
            <w:tcW w:type="dxa" w:w="2880"/>
          </w:tcPr>
          <w:p>
            <w:r>
              <w:t>Pedestrian</w:t>
            </w:r>
          </w:p>
        </w:tc>
        <w:tc>
          <w:tcPr>
            <w:tcW w:type="dxa" w:w="2880"/>
          </w:tcPr>
          <w:p>
            <w:r>
              <w:t>46,022</w:t>
            </w:r>
          </w:p>
        </w:tc>
        <w:tc>
          <w:tcPr>
            <w:tcW w:type="dxa" w:w="2880"/>
          </w:tcPr>
          <w:p>
            <w:r>
              <w:t>1.213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(1.140-1.216)</w:t>
            </w:r>
          </w:p>
        </w:tc>
      </w:tr>
      <w:tr>
        <w:tc>
          <w:tcPr>
            <w:tcW w:type="dxa" w:w="2880"/>
          </w:tcPr>
          <w:p>
            <w:r>
              <w:t>Age 65+ y</w:t>
            </w:r>
          </w:p>
        </w:tc>
        <w:tc>
          <w:tcPr>
            <w:tcW w:type="dxa" w:w="2880"/>
          </w:tcPr>
          <w:p>
            <w:r>
              <w:t>49,680</w:t>
            </w:r>
          </w:p>
        </w:tc>
        <w:tc>
          <w:tcPr>
            <w:tcW w:type="dxa" w:w="2880"/>
          </w:tcPr>
          <w:p>
            <w:r>
              <w:t>1.167 (1.104-1.234)</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14</w:t>
      </w:r>
      <w:r>
        <w:t xml:space="preserve"> A uniform +1 °C shift projected 339 additional US crash deaths per year (95% CI 250-428), rising to 983 (644-1356)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661 (459-864)</w:t>
            </w:r>
          </w:p>
        </w:tc>
      </w:tr>
      <w:tr>
        <w:tc>
          <w:tcPr>
            <w:tcW w:type="dxa" w:w="4320"/>
          </w:tcPr>
          <w:p>
            <w:r>
              <w:t>+3°C</w:t>
            </w:r>
          </w:p>
        </w:tc>
        <w:tc>
          <w:tcPr>
            <w:tcW w:type="dxa" w:w="4320"/>
          </w:tcPr>
          <w:p>
            <w:r>
              <w:t>983 (644-1356)</w:t>
            </w:r>
          </w:p>
        </w:tc>
      </w:tr>
    </w:tbl>
    <w:p/>
    <w:p>
      <w:pPr>
        <w:pStyle w:val="Heading2"/>
      </w:pPr>
      <w:r>
        <w:t>Exploratory Japan comparison</w:t>
      </w:r>
    </w:p>
    <w:p>
      <w:pPr>
        <w:spacing w:after="120" w:line="480" w:lineRule="auto"/>
      </w:pPr>
      <w:r>
        <w:t>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9" name="Picture 9"/>
            <wp:cNvGraphicFramePr>
              <a:graphicFrameLocks noChangeAspect="1"/>
            </wp:cNvGraphicFramePr>
            <a:graphic>
              <a:graphicData uri="http://schemas.openxmlformats.org/drawingml/2006/picture">
                <pic:pic>
                  <pic:nvPicPr>
                    <pic:cNvPr id="0" name="jp_fig2_anomaly_exposure_response.png"/>
                    <pic:cNvPicPr/>
                  </pic:nvPicPr>
                  <pic:blipFill>
                    <a:blip r:embed="rId17"/>
                    <a:stretch>
                      <a:fillRect/>
                    </a:stretch>
                  </pic:blipFill>
                  <pic:spPr>
                    <a:xfrm>
                      <a:off x="0" y="0"/>
                      <a:ext cx="5120640" cy="3660652"/>
                    </a:xfrm>
                    <a:prstGeom prst="rect"/>
                  </pic:spPr>
                </pic:pic>
              </a:graphicData>
            </a:graphic>
          </wp:inline>
        </w:drawing>
      </w:r>
    </w:p>
    <w:p>
      <w:pPr>
        <w:spacing w:before="280"/>
      </w:pPr>
      <w:r>
        <w:rPr>
          <w:b/>
        </w:rPr>
        <w:t xml:space="preserve">Figure 9.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0" name="Picture 10"/>
            <wp:cNvGraphicFramePr>
              <a:graphicFrameLocks noChangeAspect="1"/>
            </wp:cNvGraphicFramePr>
            <a:graphic>
              <a:graphicData uri="http://schemas.openxmlformats.org/drawingml/2006/picture">
                <pic:pic>
                  <pic:nvPicPr>
                    <pic:cNvPr id="0" name="cross_fig_us_vs_japan_sameday.png"/>
                    <pic:cNvPicPr/>
                  </pic:nvPicPr>
                  <pic:blipFill>
                    <a:blip r:embed="rId18"/>
                    <a:stretch>
                      <a:fillRect/>
                    </a:stretch>
                  </pic:blipFill>
                  <pic:spPr>
                    <a:xfrm>
                      <a:off x="0" y="0"/>
                      <a:ext cx="5120640" cy="3761953"/>
                    </a:xfrm>
                    <a:prstGeom prst="rect"/>
                  </pic:spPr>
                </pic:pic>
              </a:graphicData>
            </a:graphic>
          </wp:inline>
        </w:drawing>
      </w:r>
    </w:p>
    <w:p>
      <w:pPr>
        <w:spacing w:before="280"/>
      </w:pPr>
      <w:r>
        <w:rPr>
          <w:b/>
        </w:rPr>
        <w:t xml:space="preserve">Figure 10. </w:t>
      </w:r>
      <w:r>
        <w:t>Same-day rate ratio of traffic-crash deaths for a +9 °C anomaly, United States versus Japan. The US shows a precise acute effect; the Japanese estimate is underpowered.</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FARS and NPA carry no post-mortem heat diagnosis. Second, activity adjustment used national, not daily state-level, proxies. Third, exposure is measured at the spatial-unit level and misclassifies individual exposure. Fourth, the Japanese analysis is underpowered and inconclusive; its shorter series, far smaller death counts and sparser GHCN-Daily coverage preclude a firm estimate, and we therefore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Finally, we used a quasi-Poisson dispersion parameter but did not model residual serial correlation explicitly, which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Liang M, Min M, Guo X, Song Q, Wang H, Li N, et al. The relationship between ambient temperatures and road traffic injuries: a systematic review and meta-analysis. Environ Sci Pollut Res 2022;29(33):50647-60.</w:t>
      </w:r>
    </w:p>
    <w:p>
      <w:pPr>
        <w:spacing w:after="80"/>
      </w:pPr>
      <w:r>
        <w:t>4. Liang M, Zhao D, Wu Y, Ye P, Wang Y, Yao Z, et al. Short-term effects of ambient temperature and road traffic accident injuries in Dalian, Northern China: A distributed lag non-linear analysis. Accid Anal Prev 2021;153:106057.</w:t>
      </w:r>
    </w:p>
    <w:p>
      <w:pPr>
        <w:spacing w:after="80"/>
      </w:pPr>
      <w:r>
        <w:t>5. National Highway Traffic Safety Administration. Fatality Analysis Reporting System (FARS). US Department of Transportation. https://www.nhtsa.gov/research-data/fatality-analysis-reporting-system-fars</w:t>
      </w:r>
    </w:p>
    <w:p>
      <w:pPr>
        <w:spacing w:after="80"/>
      </w:pPr>
      <w:r>
        <w:t>6. National Police Agency of Japan. Traffic accident statistics open data. https://www.npa.go.jp/publications/statistics/koutsuu/opendata/</w:t>
      </w:r>
    </w:p>
    <w:p>
      <w:pPr>
        <w:spacing w:after="80"/>
      </w:pPr>
      <w:r>
        <w:t>7. Menne MJ, Durre I, Vose RS, Gleason BE, Houston TG. An overview of the Global Historical Climatology Network-Daily database. J Atmos Ocean Technol 2012;29:897-910.</w:t>
      </w:r>
    </w:p>
    <w:p>
      <w:pPr>
        <w:spacing w:after="80"/>
      </w:pPr>
      <w:r>
        <w:t>8. Gasparrini A, Armstrong B, Kenward MG. Distributed lag non-linear models. Stat Med 2010;29:2224-34.</w:t>
      </w:r>
    </w:p>
    <w:p>
      <w:pPr>
        <w:spacing w:after="80"/>
      </w:pPr>
      <w:r>
        <w:t>9. Gasparrini A, Leone M. Attributable risk from distributed lag models. BMC Med Res Methodol 2014;14:55.</w:t>
      </w:r>
    </w:p>
    <w:p>
      <w:pPr>
        <w:spacing w:after="80"/>
      </w:pPr>
      <w:r>
        <w:t>10. Federal Highway Administration. Traffic Volume Trends. https://www.fhwa.dot.gov/policyinformation/travel_monitoring/tvt.cfm</w:t>
      </w:r>
    </w:p>
    <w:p>
      <w:pPr>
        <w:spacing w:after="80"/>
      </w:pPr>
      <w:r>
        <w:t>11. US Energy Information Administration. Weekly finished motor gasoline product supplied (PET.WGFUPUS2.W). https://www.eia.gov/</w:t>
      </w:r>
    </w:p>
    <w:p>
      <w:pPr>
        <w:spacing w:after="80"/>
      </w:pPr>
      <w:r>
        <w:t>12. Centers for Disease Control and Prevention. CDC WONDER Underlying Cause of Death database. https://wonder.cdc.gov/</w:t>
      </w:r>
    </w:p>
    <w:p>
      <w:pPr>
        <w:spacing w:after="80"/>
      </w:pPr>
      <w:r>
        <w:t>13. Daanen HAM, van de Vliert E, Huang X. Driving performance in cold, warm, and thermoneutral environments. Appl Ergon 2003;34:597-602.</w:t>
      </w:r>
    </w:p>
    <w:p>
      <w:pPr>
        <w:spacing w:after="80"/>
      </w:pPr>
      <w:r>
        <w:t>14. IPCC. Climate Change 2021: The Physical Science Basis. Contribution of Working Group I to the Sixth Assessment Report of the Intergovernmental Panel on Climate Change. Cambridge: Cambridge University Press; 2021.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