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Abstract</w:t>
      </w:r>
    </w:p>
    <w:p>
      <w:pPr>
        <w:spacing w:line="480" w:lineRule="auto" w:after="120"/>
      </w:pPr>
      <w:r>
        <w:rPr>
          <w:rFonts w:ascii="Times New Roman" w:hAnsi="Times New Roman"/>
          <w:b/>
          <w:sz w:val="24"/>
        </w:rPr>
        <w:t xml:space="preserve">Introduction: </w:t>
      </w:r>
      <w:r>
        <w:rPr>
          <w:rFonts w:ascii="Times New Roman" w:hAnsi="Times New Roman"/>
          <w:b w:val="0"/>
          <w:i w:val="0"/>
          <w:sz w:val="24"/>
        </w:rPr>
        <w:t>Medical safety incidents may deter physicians from high-risk specialties, yet the temporal dynamics remain poorly quantified. In Japan, workforce maldistribution has intensified amid the 2024 work-style reform, but no multi-specialty test of predictive causality between incidents and physician supply has been conducted.</w:t>
      </w:r>
    </w:p>
    <w:p>
      <w:pPr>
        <w:spacing w:line="480" w:lineRule="auto" w:after="120"/>
      </w:pPr>
      <w:r>
        <w:rPr>
          <w:rFonts w:ascii="Times New Roman" w:hAnsi="Times New Roman"/>
          <w:b/>
          <w:sz w:val="24"/>
        </w:rPr>
        <w:t xml:space="preserve">Methods: </w:t>
      </w:r>
      <w:r>
        <w:rPr>
          <w:rFonts w:ascii="Times New Roman" w:hAnsi="Times New Roman"/>
          <w:b w:val="0"/>
          <w:i w:val="0"/>
          <w:sz w:val="24"/>
        </w:rPr>
        <w:t>We constructed bivariate vector autoregression (VAR) models for 12 specialties using two national incident series—mandatory safety reports (2015–2025) and malpractice litigation statistics (2004–2023)—paired with physician and facility counts from national surveys. Granger causality F-tests, impulse response functions, and VAR-based forecasts were computed.</w:t>
      </w:r>
    </w:p>
    <w:p>
      <w:pPr>
        <w:spacing w:line="480" w:lineRule="auto" w:after="120"/>
      </w:pPr>
      <w:r>
        <w:rPr>
          <w:rFonts w:ascii="Times New Roman" w:hAnsi="Times New Roman"/>
          <w:b/>
          <w:sz w:val="24"/>
        </w:rPr>
        <w:t xml:space="preserve">Results: </w:t>
      </w:r>
      <w:r>
        <w:rPr>
          <w:rFonts w:ascii="Times New Roman" w:hAnsi="Times New Roman"/>
          <w:b w:val="0"/>
          <w:i w:val="0"/>
          <w:sz w:val="24"/>
        </w:rPr>
        <w:t>Of 47 VAR models, 20 demonstrated significant forward Granger causality (incidents → workforce; P &lt; 0.05). The strongest association was in obstetrics and gynaecology (F = 46.66, P &lt; 0.001). Bidirectional causality emerged in 7 specialty–outcome pairs. Impulse response functions showed that a litigation shock depressed physician supply for 3–5 years. General surgery is projected to lose approximately 230 physicians per year through 2033.</w:t>
      </w:r>
    </w:p>
    <w:p>
      <w:pPr>
        <w:spacing w:line="480" w:lineRule="auto" w:after="120"/>
      </w:pPr>
      <w:r>
        <w:rPr>
          <w:rFonts w:ascii="Times New Roman" w:hAnsi="Times New Roman"/>
          <w:b/>
          <w:sz w:val="24"/>
        </w:rPr>
        <w:t xml:space="preserve">Conclusions: </w:t>
      </w:r>
      <w:r>
        <w:rPr>
          <w:rFonts w:ascii="Times New Roman" w:hAnsi="Times New Roman"/>
          <w:b w:val="0"/>
          <w:i w:val="0"/>
          <w:sz w:val="24"/>
        </w:rPr>
        <w:t>Safety incidents Granger-cause specialty-specific workforce decline lasting 3–5 years. Coupled with work-style reform constraints, the resulting reinforcing cycle threatens essential medical services and demands integrated policy intervention.</w:t>
      </w:r>
    </w:p>
    <w:p>
      <w:pPr>
        <w:spacing w:after="360" w:line="480" w:lineRule="auto"/>
      </w:pPr>
      <w:r>
        <w:rPr>
          <w:rFonts w:ascii="Times New Roman" w:hAnsi="Times New Roman"/>
          <w:b w:val="0"/>
          <w:i/>
          <w:sz w:val="24"/>
        </w:rPr>
        <w:t>Key words: physician workforce, Granger causality, medical safety incidents, specialty maldistribution, work-style reform, Japan</w:t>
      </w:r>
    </w:p>
    <w:p>
      <w:r>
        <w:br w:type="page"/>
      </w:r>
    </w:p>
    <w:p>
      <w:pPr>
        <w:pStyle w:val="Heading1"/>
      </w:pPr>
      <w:r>
        <w:rPr>
          <w:rFonts w:ascii="Times New Roman" w:hAnsi="Times New Roman"/>
          <w:color w:val="000000"/>
        </w:rPr>
        <w:t>Introduction</w:t>
      </w:r>
    </w:p>
    <w:p>
      <w:pPr>
        <w:spacing w:after="120" w:line="480" w:lineRule="auto"/>
      </w:pPr>
      <w:r>
        <w:rPr>
          <w:rFonts w:ascii="Times New Roman" w:hAnsi="Times New Roman"/>
          <w:b w:val="0"/>
          <w:i w:val="0"/>
          <w:sz w:val="24"/>
        </w:rPr>
        <w:t>Japan’s physician workforce has grown steadily to approximately 340,000, yet aggregate expansion masks deepening maldistribution across specialties and regions.</w:t>
      </w:r>
      <w:r>
        <w:rPr>
          <w:rFonts w:ascii="Times New Roman" w:hAnsi="Times New Roman"/>
          <w:b w:val="0"/>
          <w:i w:val="0"/>
          <w:sz w:val="20"/>
          <w:vertAlign w:val="superscript"/>
        </w:rPr>
        <w:t>1,2</w:t>
      </w:r>
      <w:r>
        <w:rPr>
          <w:rFonts w:ascii="Times New Roman" w:hAnsi="Times New Roman"/>
          <w:b w:val="0"/>
          <w:i w:val="0"/>
          <w:sz w:val="24"/>
        </w:rPr>
        <w:t xml:space="preserve"> General surgery, obstetrics, emergency medicine, and paediatrics face persistent shortages even as total supply rises.</w:t>
      </w:r>
      <w:r>
        <w:rPr>
          <w:rFonts w:ascii="Times New Roman" w:hAnsi="Times New Roman"/>
          <w:b w:val="0"/>
          <w:i w:val="0"/>
          <w:sz w:val="20"/>
          <w:vertAlign w:val="superscript"/>
        </w:rPr>
        <w:t>3,4</w:t>
      </w:r>
    </w:p>
    <w:p>
      <w:pPr>
        <w:spacing w:after="120" w:line="480" w:lineRule="auto"/>
      </w:pPr>
      <w:r>
        <w:rPr>
          <w:rFonts w:ascii="Times New Roman" w:hAnsi="Times New Roman"/>
          <w:b w:val="0"/>
          <w:i w:val="0"/>
          <w:sz w:val="24"/>
        </w:rPr>
        <w:t>The April 2024 work-style reform, capping physician overtime at 960 hours annually, has curtailed "gaikin" (moonlighting opportunities) that long supplemented hospital incomes.</w:t>
      </w:r>
      <w:r>
        <w:rPr>
          <w:rFonts w:ascii="Times New Roman" w:hAnsi="Times New Roman"/>
          <w:b w:val="0"/>
          <w:i w:val="0"/>
          <w:sz w:val="20"/>
          <w:vertAlign w:val="superscript"/>
        </w:rPr>
        <w:t>5,6</w:t>
      </w:r>
      <w:r>
        <w:rPr>
          <w:rFonts w:ascii="Times New Roman" w:hAnsi="Times New Roman"/>
          <w:b w:val="0"/>
          <w:i w:val="0"/>
          <w:sz w:val="24"/>
        </w:rPr>
        <w:t xml:space="preserve"> How these regulatory constraints interact with incident-driven workforce dynamics remains untested beyond single-event case studies.</w:t>
      </w:r>
    </w:p>
    <w:p>
      <w:pPr>
        <w:spacing w:after="120" w:line="480" w:lineRule="auto"/>
      </w:pPr>
      <w:r>
        <w:rPr>
          <w:rFonts w:ascii="Times New Roman" w:hAnsi="Times New Roman"/>
          <w:b w:val="0"/>
          <w:i w:val="0"/>
          <w:sz w:val="24"/>
        </w:rPr>
        <w:t>Safety incidents as a determinant of specialty choice gained prominence after the 2004 Fukushima obstetrics prosecution, in which an obstetrician was arrested following a maternal death during caesarean section.</w:t>
      </w:r>
      <w:r>
        <w:rPr>
          <w:rFonts w:ascii="Times New Roman" w:hAnsi="Times New Roman"/>
          <w:b w:val="0"/>
          <w:i w:val="0"/>
          <w:sz w:val="20"/>
          <w:vertAlign w:val="superscript"/>
        </w:rPr>
        <w:t>7,8</w:t>
      </w:r>
      <w:r>
        <w:rPr>
          <w:rFonts w:ascii="Times New Roman" w:hAnsi="Times New Roman"/>
          <w:b w:val="0"/>
          <w:i w:val="0"/>
          <w:sz w:val="24"/>
        </w:rPr>
        <w:t xml:space="preserve"> Morita reported a 13% decline in obstetricians in the affected prefecture using difference-in-differences.</w:t>
      </w:r>
      <w:r>
        <w:rPr>
          <w:rFonts w:ascii="Times New Roman" w:hAnsi="Times New Roman"/>
          <w:b w:val="0"/>
          <w:i w:val="0"/>
          <w:sz w:val="20"/>
          <w:vertAlign w:val="superscript"/>
        </w:rPr>
        <w:t>9</w:t>
      </w:r>
      <w:r>
        <w:rPr>
          <w:rFonts w:ascii="Times New Roman" w:hAnsi="Times New Roman"/>
          <w:b w:val="0"/>
          <w:i w:val="0"/>
          <w:sz w:val="24"/>
        </w:rPr>
        <w:t xml:space="preserve"> That analysis, however, addressed a single event in one specialty and one region; broader multi-specialty evidence linking incident burden to workforce dynamics is lacking.</w:t>
      </w:r>
    </w:p>
    <w:p>
      <w:pPr>
        <w:spacing w:after="120" w:line="480" w:lineRule="auto"/>
      </w:pPr>
      <w:r>
        <w:rPr>
          <w:rFonts w:ascii="Times New Roman" w:hAnsi="Times New Roman"/>
          <w:b w:val="0"/>
          <w:i w:val="0"/>
          <w:sz w:val="24"/>
        </w:rPr>
        <w:t>Japan offers two complementary national incident series: the Japan Medical Safety Research Organisation (JMSR) mandatory reports (from 2015)</w:t>
      </w:r>
      <w:r>
        <w:rPr>
          <w:rFonts w:ascii="Times New Roman" w:hAnsi="Times New Roman"/>
          <w:b w:val="0"/>
          <w:i w:val="0"/>
          <w:sz w:val="20"/>
          <w:vertAlign w:val="superscript"/>
        </w:rPr>
        <w:t>10</w:t>
      </w:r>
      <w:r>
        <w:rPr>
          <w:rFonts w:ascii="Times New Roman" w:hAnsi="Times New Roman"/>
          <w:b w:val="0"/>
          <w:i w:val="0"/>
          <w:sz w:val="24"/>
        </w:rPr>
        <w:t xml:space="preserve"> and Supreme Court malpractice litigation statistics by specialty.</w:t>
      </w:r>
      <w:r>
        <w:rPr>
          <w:rFonts w:ascii="Times New Roman" w:hAnsi="Times New Roman"/>
          <w:b w:val="0"/>
          <w:i w:val="0"/>
          <w:sz w:val="20"/>
          <w:vertAlign w:val="superscript"/>
        </w:rPr>
        <w:t>11,12</w:t>
      </w:r>
      <w:r>
        <w:rPr>
          <w:rFonts w:ascii="Times New Roman" w:hAnsi="Times New Roman"/>
          <w:b w:val="0"/>
          <w:i w:val="0"/>
          <w:sz w:val="24"/>
        </w:rPr>
        <w:t xml:space="preserve"> Paired with biennial physician surveys and annual facility registrations, these data permit a systematic multi-specialty analysis.</w:t>
      </w:r>
    </w:p>
    <w:p>
      <w:pPr>
        <w:spacing w:after="120" w:line="480" w:lineRule="auto"/>
      </w:pPr>
      <w:r>
        <w:rPr>
          <w:rFonts w:ascii="Times New Roman" w:hAnsi="Times New Roman"/>
          <w:b w:val="0"/>
          <w:i w:val="0"/>
          <w:sz w:val="24"/>
        </w:rPr>
        <w:t>Here we apply vector autoregression (VAR) and Granger causality testing</w:t>
      </w:r>
      <w:r>
        <w:rPr>
          <w:rFonts w:ascii="Times New Roman" w:hAnsi="Times New Roman"/>
          <w:b w:val="0"/>
          <w:i w:val="0"/>
          <w:sz w:val="20"/>
          <w:vertAlign w:val="superscript"/>
        </w:rPr>
        <w:t>13–15</w:t>
      </w:r>
      <w:r>
        <w:rPr>
          <w:rFonts w:ascii="Times New Roman" w:hAnsi="Times New Roman"/>
          <w:b w:val="0"/>
          <w:i w:val="0"/>
          <w:sz w:val="24"/>
        </w:rPr>
        <w:t>—established econometric tools for predictive-causality inference—to determine whether incident trends temporally precede changes in specialty-specific physician and facility counts across 12 specialties over up to 20 years.</w:t>
      </w:r>
    </w:p>
    <w:p>
      <w:r>
        <w:br w:type="page"/>
      </w:r>
    </w:p>
    <w:p>
      <w:pPr>
        <w:pStyle w:val="Heading1"/>
      </w:pPr>
      <w:r>
        <w:rPr>
          <w:rFonts w:ascii="Times New Roman" w:hAnsi="Times New Roman"/>
          <w:color w:val="000000"/>
        </w:rPr>
        <w:t>Materials and Methods</w:t>
      </w:r>
    </w:p>
    <w:p>
      <w:pPr>
        <w:pStyle w:val="Heading2"/>
      </w:pPr>
      <w:r>
        <w:rPr>
          <w:rFonts w:ascii="Times New Roman" w:hAnsi="Times New Roman"/>
          <w:color w:val="000000"/>
        </w:rPr>
        <w:t>Study design</w:t>
      </w:r>
    </w:p>
    <w:p>
      <w:pPr>
        <w:spacing w:after="120" w:line="480" w:lineRule="auto"/>
      </w:pPr>
      <w:r>
        <w:rPr>
          <w:rFonts w:ascii="Times New Roman" w:hAnsi="Times New Roman"/>
          <w:b w:val="0"/>
          <w:i w:val="0"/>
          <w:sz w:val="24"/>
        </w:rPr>
        <w:t>This is a secondary analysis of routinely collected national administrative data using bivariate VAR models and Granger causality tests, reported in accordance with the STROBE (Strengthening the Reporting of Observational Studies in Epidemiology) statement for cross-sectional studies.</w:t>
      </w:r>
      <w:r>
        <w:rPr>
          <w:rFonts w:ascii="Times New Roman" w:hAnsi="Times New Roman"/>
          <w:b w:val="0"/>
          <w:i w:val="0"/>
          <w:sz w:val="20"/>
          <w:vertAlign w:val="superscript"/>
        </w:rPr>
        <w:t>16</w:t>
      </w:r>
    </w:p>
    <w:p>
      <w:pPr>
        <w:pStyle w:val="Heading2"/>
      </w:pPr>
      <w:r>
        <w:rPr>
          <w:rFonts w:ascii="Times New Roman" w:hAnsi="Times New Roman"/>
          <w:color w:val="000000"/>
        </w:rPr>
        <w:t>Data sources</w:t>
      </w:r>
    </w:p>
    <w:p>
      <w:pPr>
        <w:spacing w:after="120" w:line="480" w:lineRule="auto"/>
      </w:pPr>
      <w:r>
        <w:rPr>
          <w:rFonts w:ascii="Times New Roman" w:hAnsi="Times New Roman"/>
          <w:b w:val="0"/>
          <w:i w:val="0"/>
          <w:sz w:val="24"/>
        </w:rPr>
        <w:t>Medical safety incident data were obtained from two sources. Definition 1 (JMSR): annual specialty-specific incident reports to the Japan Medical Safety Research Organisation for fiscal years 2015–2025 (11 annual observations).</w:t>
      </w:r>
      <w:r>
        <w:rPr>
          <w:rFonts w:ascii="Times New Roman" w:hAnsi="Times New Roman"/>
          <w:b w:val="0"/>
          <w:i w:val="0"/>
          <w:sz w:val="20"/>
          <w:vertAlign w:val="superscript"/>
        </w:rPr>
        <w:t>10</w:t>
      </w:r>
      <w:r>
        <w:rPr>
          <w:rFonts w:ascii="Times New Roman" w:hAnsi="Times New Roman"/>
          <w:b w:val="0"/>
          <w:i w:val="0"/>
          <w:sz w:val="24"/>
        </w:rPr>
        <w:t xml:space="preserve"> Definition 2 (litigation): annual specialty-specific medical malpractice closed-claim counts from the Supreme Court of Japan for 2004–2023 (20 annual observations).</w:t>
      </w:r>
      <w:r>
        <w:rPr>
          <w:rFonts w:ascii="Times New Roman" w:hAnsi="Times New Roman"/>
          <w:b w:val="0"/>
          <w:i w:val="0"/>
          <w:sz w:val="20"/>
          <w:vertAlign w:val="superscript"/>
        </w:rPr>
        <w:t>11</w:t>
      </w:r>
    </w:p>
    <w:p>
      <w:pPr>
        <w:spacing w:after="120" w:line="480" w:lineRule="auto"/>
      </w:pPr>
      <w:r>
        <w:rPr>
          <w:rFonts w:ascii="Times New Roman" w:hAnsi="Times New Roman"/>
          <w:b w:val="0"/>
          <w:i w:val="0"/>
          <w:sz w:val="24"/>
        </w:rPr>
        <w:t>Specialty-specific physician counts were obtained from the Survey of Physicians, Dentists, and Pharmacists (biennial, 2002–2024; annual values by linear interpolation).</w:t>
      </w:r>
      <w:r>
        <w:rPr>
          <w:rFonts w:ascii="Times New Roman" w:hAnsi="Times New Roman"/>
          <w:b w:val="0"/>
          <w:i w:val="0"/>
          <w:sz w:val="20"/>
          <w:vertAlign w:val="superscript"/>
        </w:rPr>
        <w:t>17</w:t>
      </w:r>
      <w:r>
        <w:rPr>
          <w:rFonts w:ascii="Times New Roman" w:hAnsi="Times New Roman"/>
          <w:b w:val="0"/>
          <w:i w:val="0"/>
          <w:sz w:val="24"/>
        </w:rPr>
        <w:t xml:space="preserve"> Facility counts were obtained from the Survey of Medical Institutions (2005–2024).</w:t>
      </w:r>
      <w:r>
        <w:rPr>
          <w:rFonts w:ascii="Times New Roman" w:hAnsi="Times New Roman"/>
          <w:b w:val="0"/>
          <w:i w:val="0"/>
          <w:sz w:val="20"/>
          <w:vertAlign w:val="superscript"/>
        </w:rPr>
        <w:t>18</w:t>
      </w:r>
      <w:r>
        <w:rPr>
          <w:rFonts w:ascii="Times New Roman" w:hAnsi="Times New Roman"/>
          <w:b w:val="0"/>
          <w:i w:val="0"/>
          <w:sz w:val="24"/>
        </w:rPr>
        <w:t xml:space="preserve"> Specialist trainee enrolment data were obtained from the Japan Board of Medical Specialties (2018–2025).</w:t>
      </w:r>
      <w:r>
        <w:rPr>
          <w:rFonts w:ascii="Times New Roman" w:hAnsi="Times New Roman"/>
          <w:b w:val="0"/>
          <w:i w:val="0"/>
          <w:sz w:val="20"/>
          <w:vertAlign w:val="superscript"/>
        </w:rPr>
        <w:t>19</w:t>
      </w:r>
    </w:p>
    <w:p>
      <w:pPr>
        <w:pStyle w:val="Heading2"/>
      </w:pPr>
      <w:r>
        <w:rPr>
          <w:rFonts w:ascii="Times New Roman" w:hAnsi="Times New Roman"/>
          <w:color w:val="000000"/>
        </w:rPr>
        <w:t>Specialties analysed</w:t>
      </w:r>
    </w:p>
    <w:p>
      <w:pPr>
        <w:spacing w:after="120" w:line="480" w:lineRule="auto"/>
      </w:pPr>
      <w:r>
        <w:rPr>
          <w:rFonts w:ascii="Times New Roman" w:hAnsi="Times New Roman"/>
          <w:b w:val="0"/>
          <w:i w:val="0"/>
          <w:sz w:val="24"/>
        </w:rPr>
        <w:t>Twelve core specialties with sufficient data across all sources were analysed: internal medicine, general surgery, orthopaedic surgery, plastic surgery, obstetrics and gynaecology, paediatrics, psychiatry, ophthalmology, otolaryngology, urology, dermatology, and anaesthesiology.</w:t>
      </w:r>
    </w:p>
    <w:p>
      <w:pPr>
        <w:pStyle w:val="Heading2"/>
      </w:pPr>
      <w:r>
        <w:rPr>
          <w:rFonts w:ascii="Times New Roman" w:hAnsi="Times New Roman"/>
          <w:color w:val="000000"/>
        </w:rPr>
        <w:t>Statistical analysis</w:t>
      </w:r>
    </w:p>
    <w:p>
      <w:pPr>
        <w:spacing w:after="120" w:line="480" w:lineRule="auto"/>
      </w:pPr>
      <w:r>
        <w:rPr>
          <w:rFonts w:ascii="Times New Roman" w:hAnsi="Times New Roman"/>
          <w:b w:val="0"/>
          <w:i w:val="0"/>
          <w:sz w:val="24"/>
        </w:rPr>
        <w:t>Stationarity was assessed using augmented Dickey–Fuller (ADF) tests. Non-stationary pairs were first-differenced. For each specialty–definition–outcome combination, a bivariate VAR model was fitted with lag order selected by minimising the Akaike information criterion (AIC), capped at min(4, n/3 − 1).</w:t>
      </w:r>
    </w:p>
    <w:p>
      <w:pPr>
        <w:spacing w:after="120" w:line="480" w:lineRule="auto"/>
      </w:pPr>
      <w:r>
        <w:rPr>
          <w:rFonts w:ascii="Times New Roman" w:hAnsi="Times New Roman"/>
          <w:b w:val="0"/>
          <w:i w:val="0"/>
          <w:sz w:val="24"/>
        </w:rPr>
        <w:t>Granger causality was tested bidirectionally using F-tests on lagged coefficients.</w:t>
      </w:r>
      <w:r>
        <w:rPr>
          <w:rFonts w:ascii="Times New Roman" w:hAnsi="Times New Roman"/>
          <w:b w:val="0"/>
          <w:i w:val="0"/>
          <w:sz w:val="20"/>
          <w:vertAlign w:val="superscript"/>
        </w:rPr>
        <w:t>20</w:t>
      </w:r>
      <w:r>
        <w:rPr>
          <w:rFonts w:ascii="Times New Roman" w:hAnsi="Times New Roman"/>
          <w:b w:val="0"/>
          <w:i w:val="0"/>
          <w:sz w:val="24"/>
        </w:rPr>
        <w:t xml:space="preserve"> The forward null hypothesis is that lagged incident counts do not improve prediction of the workforce outcome; significance was set at P &lt; 0.05.</w:t>
      </w:r>
    </w:p>
    <w:p>
      <w:pPr>
        <w:spacing w:after="120" w:line="480" w:lineRule="auto"/>
      </w:pPr>
      <w:r>
        <w:rPr>
          <w:rFonts w:ascii="Times New Roman" w:hAnsi="Times New Roman"/>
          <w:b w:val="0"/>
          <w:i w:val="0"/>
          <w:sz w:val="24"/>
        </w:rPr>
        <w:t>Impulse response functions (IRFs) were computed over a 10-year horizon to estimate the magnitude and duration of workforce effects following a one-unit incident shock.</w:t>
      </w:r>
      <w:r>
        <w:rPr>
          <w:rFonts w:ascii="Times New Roman" w:hAnsi="Times New Roman"/>
          <w:b w:val="0"/>
          <w:i w:val="0"/>
          <w:sz w:val="20"/>
          <w:vertAlign w:val="superscript"/>
        </w:rPr>
        <w:t>21</w:t>
      </w:r>
      <w:r>
        <w:rPr>
          <w:rFonts w:ascii="Times New Roman" w:hAnsi="Times New Roman"/>
          <w:b w:val="0"/>
          <w:i w:val="0"/>
          <w:sz w:val="24"/>
        </w:rPr>
        <w:t xml:space="preserve"> VAR-based forecasts with 95% intervals were generated for 2024–2033 using litigation-based models.</w:t>
      </w:r>
    </w:p>
    <w:p>
      <w:pPr>
        <w:spacing w:after="120" w:line="480" w:lineRule="auto"/>
      </w:pPr>
      <w:r>
        <w:rPr>
          <w:rFonts w:ascii="Times New Roman" w:hAnsi="Times New Roman"/>
          <w:b w:val="0"/>
          <w:i w:val="0"/>
          <w:sz w:val="24"/>
        </w:rPr>
        <w:t>For specialist trainees (8 annual observations), detrended Pearson correlations between JMSR incidents and enrolment were computed. Analyses used Python 3.10 with statsmodels 0.14.</w:t>
      </w:r>
      <w:r>
        <w:rPr>
          <w:rFonts w:ascii="Times New Roman" w:hAnsi="Times New Roman"/>
          <w:b w:val="0"/>
          <w:i w:val="0"/>
          <w:sz w:val="20"/>
          <w:vertAlign w:val="superscript"/>
        </w:rPr>
        <w:t>22</w:t>
      </w:r>
      <w:r>
        <w:rPr>
          <w:rFonts w:ascii="Times New Roman" w:hAnsi="Times New Roman"/>
          <w:b w:val="0"/>
          <w:i w:val="0"/>
          <w:sz w:val="24"/>
        </w:rPr>
        <w:t xml:space="preserve"> Code and data are deposited at https://github.com/bougtoir/medical-accident-its-analysis.</w:t>
      </w:r>
    </w:p>
    <w:p>
      <w:pPr>
        <w:pStyle w:val="Heading2"/>
      </w:pPr>
      <w:r>
        <w:rPr>
          <w:rFonts w:ascii="Times New Roman" w:hAnsi="Times New Roman"/>
          <w:color w:val="000000"/>
        </w:rPr>
        <w:t>Ethical considerations</w:t>
      </w:r>
    </w:p>
    <w:p>
      <w:pPr>
        <w:spacing w:after="120" w:line="480" w:lineRule="auto"/>
      </w:pPr>
      <w:r>
        <w:rPr>
          <w:rFonts w:ascii="Times New Roman" w:hAnsi="Times New Roman"/>
          <w:b w:val="0"/>
          <w:i w:val="0"/>
          <w:sz w:val="24"/>
        </w:rPr>
        <w:t>This study used publicly available, anonymised, aggregate-level administrative data. No individual-level data were accessed. Ethical approval was not required per institutional guidelines.</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Descriptive overview</w:t>
      </w:r>
    </w:p>
    <w:p>
      <w:pPr>
        <w:spacing w:after="120" w:line="480" w:lineRule="auto"/>
      </w:pPr>
      <w:r>
        <w:rPr>
          <w:rFonts w:ascii="Times New Roman" w:hAnsi="Times New Roman"/>
          <w:b w:val="0"/>
          <w:i w:val="0"/>
          <w:sz w:val="24"/>
        </w:rPr>
        <w:t>Over the study period the JMSR received 3,860 reports across 12 specialties (2015–2025); general surgery (n = 520), internal medicine (n = 479), and orthopaedic surgery (n = 310) contributed the largest volumes. Malpractice litigation declined from 1,139 cases (2004) to 746 (2023) nationally, though specialty-level trajectories diverged (Figure 1).</w:t>
      </w:r>
    </w:p>
    <w:p>
      <w:pPr>
        <w:spacing w:before="240" w:after="120" w:line="480" w:lineRule="auto"/>
      </w:pPr>
      <w:r>
        <w:rPr>
          <w:rFonts w:ascii="Times New Roman" w:hAnsi="Times New Roman"/>
          <w:b/>
          <w:sz w:val="20"/>
        </w:rPr>
        <w:t>Figure 1. Trends in medical safety incident counts by specialty.</w:t>
      </w:r>
    </w:p>
    <w:p>
      <w:pPr>
        <w:jc w:val="center"/>
      </w:pPr>
      <w:r>
        <w:drawing>
          <wp:inline xmlns:a="http://schemas.openxmlformats.org/drawingml/2006/main" xmlns:pic="http://schemas.openxmlformats.org/drawingml/2006/picture">
            <wp:extent cx="5029200" cy="5543311"/>
            <wp:docPr id="1" name="Picture 1"/>
            <wp:cNvGraphicFramePr>
              <a:graphicFrameLocks noChangeAspect="1"/>
            </wp:cNvGraphicFramePr>
            <a:graphic>
              <a:graphicData uri="http://schemas.openxmlformats.org/drawingml/2006/picture">
                <pic:pic>
                  <pic:nvPicPr>
                    <pic:cNvPr id="0" name="fig4_accident_trends.png"/>
                    <pic:cNvPicPr/>
                  </pic:nvPicPr>
                  <pic:blipFill>
                    <a:blip r:embed="rId9"/>
                    <a:stretch>
                      <a:fillRect/>
                    </a:stretch>
                  </pic:blipFill>
                  <pic:spPr>
                    <a:xfrm>
                      <a:off x="0" y="0"/>
                      <a:ext cx="5029200" cy="5543311"/>
                    </a:xfrm>
                    <a:prstGeom prst="rect"/>
                  </pic:spPr>
                </pic:pic>
              </a:graphicData>
            </a:graphic>
          </wp:inline>
        </w:drawing>
      </w:r>
    </w:p>
    <w:p/>
    <w:p>
      <w:pPr>
        <w:pStyle w:val="Heading2"/>
      </w:pPr>
      <w:r>
        <w:rPr>
          <w:rFonts w:ascii="Times New Roman" w:hAnsi="Times New Roman"/>
          <w:color w:val="000000"/>
        </w:rPr>
        <w:t>Granger causality tests</w:t>
      </w:r>
    </w:p>
    <w:p>
      <w:pPr>
        <w:spacing w:after="120" w:line="480" w:lineRule="auto"/>
      </w:pPr>
      <w:r>
        <w:rPr>
          <w:rFonts w:ascii="Times New Roman" w:hAnsi="Times New Roman"/>
          <w:b w:val="0"/>
          <w:i w:val="0"/>
          <w:sz w:val="24"/>
        </w:rPr>
        <w:t>A total of 47 bivariate VAR models were fitted. Table 1 presents the litigation-based Granger causality results. Of 24 tests (12 specialties × 2 outcomes), 18 showed significant forward Granger causality (incidents → workforce, P &lt; 0.05). The strongest forward associations were obstetrics and gynaecology (physicians: F = 46.66, P &lt; 0.001), psychiatry (physicians: F = 20.89, P &lt; 0.001), and anaesthesiology (facilities: F = 20.34, P &lt; 0.001).</w:t>
      </w:r>
    </w:p>
    <w:p>
      <w:pPr>
        <w:spacing w:after="120" w:before="240" w:line="480" w:lineRule="auto"/>
      </w:pPr>
      <w:r>
        <w:rPr>
          <w:rFonts w:ascii="Times New Roman" w:hAnsi="Times New Roman"/>
          <w:b/>
          <w:sz w:val="20"/>
        </w:rPr>
        <w:t>Table 1. Granger causality test results (litigation data, 12 specialties × 2 outcomes). Forward: incidents → workforce; Reverse: workforce → incidents. *P &lt; 0.05.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Specialty</w:t>
            </w:r>
          </w:p>
        </w:tc>
        <w:tc>
          <w:tcPr>
            <w:tcW w:type="dxa" w:w="1170"/>
          </w:tcPr>
          <w:p>
            <w:pPr>
              <w:jc w:val="center"/>
            </w:pPr>
            <w:r/>
            <w:r>
              <w:rPr>
                <w:rFonts w:ascii="Times New Roman" w:hAnsi="Times New Roman"/>
                <w:b/>
                <w:sz w:val="18"/>
              </w:rPr>
              <w:t>Outcome</w:t>
            </w:r>
          </w:p>
        </w:tc>
        <w:tc>
          <w:tcPr>
            <w:tcW w:type="dxa" w:w="1170"/>
          </w:tcPr>
          <w:p>
            <w:pPr>
              <w:jc w:val="center"/>
            </w:pPr>
            <w:r/>
            <w:r>
              <w:rPr>
                <w:rFonts w:ascii="Times New Roman" w:hAnsi="Times New Roman"/>
                <w:b/>
                <w:sz w:val="18"/>
              </w:rPr>
              <w:t>Lag</w:t>
            </w:r>
          </w:p>
        </w:tc>
        <w:tc>
          <w:tcPr>
            <w:tcW w:type="dxa" w:w="1170"/>
          </w:tcPr>
          <w:p>
            <w:pPr>
              <w:jc w:val="center"/>
            </w:pPr>
            <w:r/>
            <w:r>
              <w:rPr>
                <w:rFonts w:ascii="Times New Roman" w:hAnsi="Times New Roman"/>
                <w:b/>
                <w:sz w:val="18"/>
              </w:rPr>
              <w:t>n</w:t>
            </w:r>
          </w:p>
        </w:tc>
        <w:tc>
          <w:tcPr>
            <w:tcW w:type="dxa" w:w="1170"/>
          </w:tcPr>
          <w:p>
            <w:pPr>
              <w:jc w:val="center"/>
            </w:pPr>
            <w:r/>
            <w:r>
              <w:rPr>
                <w:rFonts w:ascii="Times New Roman" w:hAnsi="Times New Roman"/>
                <w:b/>
                <w:sz w:val="18"/>
              </w:rPr>
              <w:t>Forward F</w:t>
            </w:r>
          </w:p>
        </w:tc>
        <w:tc>
          <w:tcPr>
            <w:tcW w:type="dxa" w:w="1170"/>
          </w:tcPr>
          <w:p>
            <w:pPr>
              <w:jc w:val="center"/>
            </w:pPr>
            <w:r/>
            <w:r>
              <w:rPr>
                <w:rFonts w:ascii="Times New Roman" w:hAnsi="Times New Roman"/>
                <w:b/>
                <w:sz w:val="18"/>
              </w:rPr>
              <w:t>Forward P</w:t>
            </w:r>
          </w:p>
        </w:tc>
        <w:tc>
          <w:tcPr>
            <w:tcW w:type="dxa" w:w="1170"/>
          </w:tcPr>
          <w:p>
            <w:pPr>
              <w:jc w:val="center"/>
            </w:pPr>
            <w:r/>
            <w:r>
              <w:rPr>
                <w:rFonts w:ascii="Times New Roman" w:hAnsi="Times New Roman"/>
                <w:b/>
                <w:sz w:val="18"/>
              </w:rPr>
              <w:t>Reverse F</w:t>
            </w:r>
          </w:p>
        </w:tc>
        <w:tc>
          <w:tcPr>
            <w:tcW w:type="dxa" w:w="1170"/>
          </w:tcPr>
          <w:p>
            <w:pPr>
              <w:jc w:val="center"/>
            </w:pPr>
            <w:r/>
            <w:r>
              <w:rPr>
                <w:rFonts w:ascii="Times New Roman" w:hAnsi="Times New Roman"/>
                <w:b/>
                <w:sz w:val="18"/>
              </w:rPr>
              <w:t>Reverse P</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20.34</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1.81</w:t>
            </w:r>
          </w:p>
        </w:tc>
        <w:tc>
          <w:tcPr>
            <w:tcW w:type="dxa" w:w="1170"/>
          </w:tcPr>
          <w:p>
            <w:pPr>
              <w:jc w:val="center"/>
            </w:pPr>
            <w:r/>
            <w:r>
              <w:rPr>
                <w:rFonts w:ascii="Times New Roman" w:hAnsi="Times New Roman"/>
                <w:sz w:val="18"/>
              </w:rPr>
              <w:t>0.1984</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0.97</w:t>
            </w:r>
          </w:p>
        </w:tc>
        <w:tc>
          <w:tcPr>
            <w:tcW w:type="dxa" w:w="1170"/>
          </w:tcPr>
          <w:p>
            <w:pPr>
              <w:jc w:val="center"/>
            </w:pPr>
            <w:r/>
            <w:r>
              <w:rPr>
                <w:rFonts w:ascii="Times New Roman" w:hAnsi="Times New Roman"/>
                <w:sz w:val="18"/>
              </w:rPr>
              <w:t>0.3395</w:t>
            </w:r>
          </w:p>
        </w:tc>
        <w:tc>
          <w:tcPr>
            <w:tcW w:type="dxa" w:w="1170"/>
          </w:tcPr>
          <w:p>
            <w:pPr>
              <w:jc w:val="center"/>
            </w:pPr>
            <w:r/>
            <w:r>
              <w:rPr>
                <w:rFonts w:ascii="Times New Roman" w:hAnsi="Times New Roman"/>
                <w:sz w:val="18"/>
              </w:rPr>
              <w:t>1.69</w:t>
            </w:r>
          </w:p>
        </w:tc>
        <w:tc>
          <w:tcPr>
            <w:tcW w:type="dxa" w:w="1170"/>
          </w:tcPr>
          <w:p>
            <w:pPr>
              <w:jc w:val="center"/>
            </w:pPr>
            <w:r/>
            <w:r>
              <w:rPr>
                <w:rFonts w:ascii="Times New Roman" w:hAnsi="Times New Roman"/>
                <w:sz w:val="18"/>
              </w:rPr>
              <w:t>0.2117</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4.11</w:t>
            </w:r>
          </w:p>
        </w:tc>
        <w:tc>
          <w:tcPr>
            <w:tcW w:type="dxa" w:w="1170"/>
          </w:tcPr>
          <w:p>
            <w:pPr>
              <w:jc w:val="center"/>
            </w:pPr>
            <w:r/>
            <w:r>
              <w:rPr>
                <w:rFonts w:ascii="Times New Roman" w:hAnsi="Times New Roman"/>
                <w:sz w:val="18"/>
              </w:rPr>
              <w:t>0.0436*</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9.33</w:t>
            </w:r>
          </w:p>
        </w:tc>
        <w:tc>
          <w:tcPr>
            <w:tcW w:type="dxa" w:w="1170"/>
          </w:tcPr>
          <w:p>
            <w:pPr>
              <w:jc w:val="center"/>
            </w:pPr>
            <w:r/>
            <w:r>
              <w:rPr>
                <w:rFonts w:ascii="Times New Roman" w:hAnsi="Times New Roman"/>
                <w:sz w:val="18"/>
              </w:rPr>
              <w:t>0.0076*</w:t>
            </w:r>
          </w:p>
        </w:tc>
        <w:tc>
          <w:tcPr>
            <w:tcW w:type="dxa" w:w="1170"/>
          </w:tcPr>
          <w:p>
            <w:pPr>
              <w:jc w:val="center"/>
            </w:pPr>
            <w:r/>
            <w:r>
              <w:rPr>
                <w:rFonts w:ascii="Times New Roman" w:hAnsi="Times New Roman"/>
                <w:sz w:val="18"/>
              </w:rPr>
              <w:t>4.20</w:t>
            </w:r>
          </w:p>
        </w:tc>
        <w:tc>
          <w:tcPr>
            <w:tcW w:type="dxa" w:w="1170"/>
          </w:tcPr>
          <w:p>
            <w:pPr>
              <w:jc w:val="center"/>
            </w:pPr>
            <w:r/>
            <w:r>
              <w:rPr>
                <w:rFonts w:ascii="Times New Roman" w:hAnsi="Times New Roman"/>
                <w:sz w:val="18"/>
              </w:rPr>
              <w:t>0.0571</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18.03</w:t>
            </w:r>
          </w:p>
        </w:tc>
        <w:tc>
          <w:tcPr>
            <w:tcW w:type="dxa" w:w="1170"/>
          </w:tcPr>
          <w:p>
            <w:pPr>
              <w:jc w:val="center"/>
            </w:pPr>
            <w:r/>
            <w:r>
              <w:rPr>
                <w:rFonts w:ascii="Times New Roman" w:hAnsi="Times New Roman"/>
                <w:sz w:val="18"/>
              </w:rPr>
              <w:t>0.0007*</w:t>
            </w:r>
          </w:p>
        </w:tc>
        <w:tc>
          <w:tcPr>
            <w:tcW w:type="dxa" w:w="1170"/>
          </w:tcPr>
          <w:p>
            <w:pPr>
              <w:jc w:val="center"/>
            </w:pPr>
            <w:r/>
            <w:r>
              <w:rPr>
                <w:rFonts w:ascii="Times New Roman" w:hAnsi="Times New Roman"/>
                <w:sz w:val="18"/>
              </w:rPr>
              <w:t>1.68</w:t>
            </w:r>
          </w:p>
        </w:tc>
        <w:tc>
          <w:tcPr>
            <w:tcW w:type="dxa" w:w="1170"/>
          </w:tcPr>
          <w:p>
            <w:pPr>
              <w:jc w:val="center"/>
            </w:pPr>
            <w:r/>
            <w:r>
              <w:rPr>
                <w:rFonts w:ascii="Times New Roman" w:hAnsi="Times New Roman"/>
                <w:sz w:val="18"/>
              </w:rPr>
              <w:t>0.2406</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7.77</w:t>
            </w:r>
          </w:p>
        </w:tc>
        <w:tc>
          <w:tcPr>
            <w:tcW w:type="dxa" w:w="1170"/>
          </w:tcPr>
          <w:p>
            <w:pPr>
              <w:jc w:val="center"/>
            </w:pPr>
            <w:r/>
            <w:r>
              <w:rPr>
                <w:rFonts w:ascii="Times New Roman" w:hAnsi="Times New Roman"/>
                <w:sz w:val="18"/>
              </w:rPr>
              <w:t>0.0060*</w:t>
            </w:r>
          </w:p>
        </w:tc>
        <w:tc>
          <w:tcPr>
            <w:tcW w:type="dxa" w:w="1170"/>
          </w:tcPr>
          <w:p>
            <w:pPr>
              <w:jc w:val="center"/>
            </w:pPr>
            <w:r/>
            <w:r>
              <w:rPr>
                <w:rFonts w:ascii="Times New Roman" w:hAnsi="Times New Roman"/>
                <w:sz w:val="18"/>
              </w:rPr>
              <w:t>2.55</w:t>
            </w:r>
          </w:p>
        </w:tc>
        <w:tc>
          <w:tcPr>
            <w:tcW w:type="dxa" w:w="1170"/>
          </w:tcPr>
          <w:p>
            <w:pPr>
              <w:jc w:val="center"/>
            </w:pPr>
            <w:r/>
            <w:r>
              <w:rPr>
                <w:rFonts w:ascii="Times New Roman" w:hAnsi="Times New Roman"/>
                <w:sz w:val="18"/>
              </w:rPr>
              <w:t>0.1299</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1.03</w:t>
            </w:r>
          </w:p>
        </w:tc>
        <w:tc>
          <w:tcPr>
            <w:tcW w:type="dxa" w:w="1170"/>
          </w:tcPr>
          <w:p>
            <w:pPr>
              <w:jc w:val="center"/>
            </w:pPr>
            <w:r/>
            <w:r>
              <w:rPr>
                <w:rFonts w:ascii="Times New Roman" w:hAnsi="Times New Roman"/>
                <w:sz w:val="18"/>
              </w:rPr>
              <w:t>0.3260</w:t>
            </w:r>
          </w:p>
        </w:tc>
        <w:tc>
          <w:tcPr>
            <w:tcW w:type="dxa" w:w="1170"/>
          </w:tcPr>
          <w:p>
            <w:pPr>
              <w:jc w:val="center"/>
            </w:pPr>
            <w:r/>
            <w:r>
              <w:rPr>
                <w:rFonts w:ascii="Times New Roman" w:hAnsi="Times New Roman"/>
                <w:sz w:val="18"/>
              </w:rPr>
              <w:t>9.23</w:t>
            </w:r>
          </w:p>
        </w:tc>
        <w:tc>
          <w:tcPr>
            <w:tcW w:type="dxa" w:w="1170"/>
          </w:tcPr>
          <w:p>
            <w:pPr>
              <w:jc w:val="center"/>
            </w:pPr>
            <w:r/>
            <w:r>
              <w:rPr>
                <w:rFonts w:ascii="Times New Roman" w:hAnsi="Times New Roman"/>
                <w:sz w:val="18"/>
              </w:rPr>
              <w:t>0.0083*</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7.74</w:t>
            </w:r>
          </w:p>
        </w:tc>
        <w:tc>
          <w:tcPr>
            <w:tcW w:type="dxa" w:w="1170"/>
          </w:tcPr>
          <w:p>
            <w:pPr>
              <w:jc w:val="center"/>
            </w:pPr>
            <w:r/>
            <w:r>
              <w:rPr>
                <w:rFonts w:ascii="Times New Roman" w:hAnsi="Times New Roman"/>
                <w:sz w:val="18"/>
              </w:rPr>
              <w:t>0.0133*</w:t>
            </w:r>
          </w:p>
        </w:tc>
        <w:tc>
          <w:tcPr>
            <w:tcW w:type="dxa" w:w="1170"/>
          </w:tcPr>
          <w:p>
            <w:pPr>
              <w:jc w:val="center"/>
            </w:pPr>
            <w:r/>
            <w:r>
              <w:rPr>
                <w:rFonts w:ascii="Times New Roman" w:hAnsi="Times New Roman"/>
                <w:sz w:val="18"/>
              </w:rPr>
              <w:t>1.97</w:t>
            </w:r>
          </w:p>
        </w:tc>
        <w:tc>
          <w:tcPr>
            <w:tcW w:type="dxa" w:w="1170"/>
          </w:tcPr>
          <w:p>
            <w:pPr>
              <w:jc w:val="center"/>
            </w:pPr>
            <w:r/>
            <w:r>
              <w:rPr>
                <w:rFonts w:ascii="Times New Roman" w:hAnsi="Times New Roman"/>
                <w:sz w:val="18"/>
              </w:rPr>
              <w:t>0.1824</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16.34</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13.81</w:t>
            </w:r>
          </w:p>
        </w:tc>
        <w:tc>
          <w:tcPr>
            <w:tcW w:type="dxa" w:w="1170"/>
          </w:tcPr>
          <w:p>
            <w:pPr>
              <w:jc w:val="center"/>
            </w:pPr>
            <w:r/>
            <w:r>
              <w:rPr>
                <w:rFonts w:ascii="Times New Roman" w:hAnsi="Times New Roman"/>
                <w:sz w:val="18"/>
              </w:rPr>
              <w:t>0.0021*</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46.66</w:t>
            </w:r>
          </w:p>
        </w:tc>
        <w:tc>
          <w:tcPr>
            <w:tcW w:type="dxa" w:w="1170"/>
          </w:tcPr>
          <w:p>
            <w:pPr>
              <w:jc w:val="center"/>
            </w:pPr>
            <w:r/>
            <w:r>
              <w:rPr>
                <w:rFonts w:ascii="Times New Roman" w:hAnsi="Times New Roman"/>
                <w:sz w:val="18"/>
              </w:rPr>
              <w:t>0.0000*</w:t>
            </w:r>
          </w:p>
        </w:tc>
        <w:tc>
          <w:tcPr>
            <w:tcW w:type="dxa" w:w="1170"/>
          </w:tcPr>
          <w:p>
            <w:pPr>
              <w:jc w:val="center"/>
            </w:pPr>
            <w:r/>
            <w:r>
              <w:rPr>
                <w:rFonts w:ascii="Times New Roman" w:hAnsi="Times New Roman"/>
                <w:sz w:val="18"/>
              </w:rPr>
              <w:t>6.13</w:t>
            </w:r>
          </w:p>
        </w:tc>
        <w:tc>
          <w:tcPr>
            <w:tcW w:type="dxa" w:w="1170"/>
          </w:tcPr>
          <w:p>
            <w:pPr>
              <w:jc w:val="center"/>
            </w:pPr>
            <w:r/>
            <w:r>
              <w:rPr>
                <w:rFonts w:ascii="Times New Roman" w:hAnsi="Times New Roman"/>
                <w:sz w:val="18"/>
              </w:rPr>
              <w:t>0.0123*</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6.02</w:t>
            </w:r>
          </w:p>
        </w:tc>
        <w:tc>
          <w:tcPr>
            <w:tcW w:type="dxa" w:w="1170"/>
          </w:tcPr>
          <w:p>
            <w:pPr>
              <w:jc w:val="center"/>
            </w:pPr>
            <w:r/>
            <w:r>
              <w:rPr>
                <w:rFonts w:ascii="Times New Roman" w:hAnsi="Times New Roman"/>
                <w:sz w:val="18"/>
              </w:rPr>
              <w:t>0.0268*</w:t>
            </w:r>
          </w:p>
        </w:tc>
        <w:tc>
          <w:tcPr>
            <w:tcW w:type="dxa" w:w="1170"/>
          </w:tcPr>
          <w:p>
            <w:pPr>
              <w:jc w:val="center"/>
            </w:pPr>
            <w:r/>
            <w:r>
              <w:rPr>
                <w:rFonts w:ascii="Times New Roman" w:hAnsi="Times New Roman"/>
                <w:sz w:val="18"/>
              </w:rPr>
              <w:t>4.69</w:t>
            </w:r>
          </w:p>
        </w:tc>
        <w:tc>
          <w:tcPr>
            <w:tcW w:type="dxa" w:w="1170"/>
          </w:tcPr>
          <w:p>
            <w:pPr>
              <w:jc w:val="center"/>
            </w:pPr>
            <w:r/>
            <w:r>
              <w:rPr>
                <w:rFonts w:ascii="Times New Roman" w:hAnsi="Times New Roman"/>
                <w:sz w:val="18"/>
              </w:rPr>
              <w:t>0.0469*</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4.95</w:t>
            </w:r>
          </w:p>
        </w:tc>
        <w:tc>
          <w:tcPr>
            <w:tcW w:type="dxa" w:w="1170"/>
          </w:tcPr>
          <w:p>
            <w:pPr>
              <w:jc w:val="center"/>
            </w:pPr>
            <w:r/>
            <w:r>
              <w:rPr>
                <w:rFonts w:ascii="Times New Roman" w:hAnsi="Times New Roman"/>
                <w:sz w:val="18"/>
              </w:rPr>
              <w:t>0.0233*</w:t>
            </w:r>
          </w:p>
        </w:tc>
        <w:tc>
          <w:tcPr>
            <w:tcW w:type="dxa" w:w="1170"/>
          </w:tcPr>
          <w:p>
            <w:pPr>
              <w:jc w:val="center"/>
            </w:pPr>
            <w:r/>
            <w:r>
              <w:rPr>
                <w:rFonts w:ascii="Times New Roman" w:hAnsi="Times New Roman"/>
                <w:sz w:val="18"/>
              </w:rPr>
              <w:t>2.51</w:t>
            </w:r>
          </w:p>
        </w:tc>
        <w:tc>
          <w:tcPr>
            <w:tcW w:type="dxa" w:w="1170"/>
          </w:tcPr>
          <w:p>
            <w:pPr>
              <w:jc w:val="center"/>
            </w:pPr>
            <w:r/>
            <w:r>
              <w:rPr>
                <w:rFonts w:ascii="Times New Roman" w:hAnsi="Times New Roman"/>
                <w:sz w:val="18"/>
              </w:rPr>
              <w:t>0.1324</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9.13</w:t>
            </w:r>
          </w:p>
        </w:tc>
        <w:tc>
          <w:tcPr>
            <w:tcW w:type="dxa" w:w="1170"/>
          </w:tcPr>
          <w:p>
            <w:pPr>
              <w:jc w:val="center"/>
            </w:pPr>
            <w:r/>
            <w:r>
              <w:rPr>
                <w:rFonts w:ascii="Times New Roman" w:hAnsi="Times New Roman"/>
                <w:sz w:val="18"/>
              </w:rPr>
              <w:t>0.0043*</w:t>
            </w:r>
          </w:p>
        </w:tc>
        <w:tc>
          <w:tcPr>
            <w:tcW w:type="dxa" w:w="1170"/>
          </w:tcPr>
          <w:p>
            <w:pPr>
              <w:jc w:val="center"/>
            </w:pPr>
            <w:r/>
            <w:r>
              <w:rPr>
                <w:rFonts w:ascii="Times New Roman" w:hAnsi="Times New Roman"/>
                <w:sz w:val="18"/>
              </w:rPr>
              <w:t>1.55</w:t>
            </w:r>
          </w:p>
        </w:tc>
        <w:tc>
          <w:tcPr>
            <w:tcW w:type="dxa" w:w="1170"/>
          </w:tcPr>
          <w:p>
            <w:pPr>
              <w:jc w:val="center"/>
            </w:pPr>
            <w:r/>
            <w:r>
              <w:rPr>
                <w:rFonts w:ascii="Times New Roman" w:hAnsi="Times New Roman"/>
                <w:sz w:val="18"/>
              </w:rPr>
              <w:t>0.2670</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15.21</w:t>
            </w:r>
          </w:p>
        </w:tc>
        <w:tc>
          <w:tcPr>
            <w:tcW w:type="dxa" w:w="1170"/>
          </w:tcPr>
          <w:p>
            <w:pPr>
              <w:jc w:val="center"/>
            </w:pPr>
            <w:r/>
            <w:r>
              <w:rPr>
                <w:rFonts w:ascii="Times New Roman" w:hAnsi="Times New Roman"/>
                <w:sz w:val="18"/>
              </w:rPr>
              <w:t>0.0013*</w:t>
            </w:r>
          </w:p>
        </w:tc>
        <w:tc>
          <w:tcPr>
            <w:tcW w:type="dxa" w:w="1170"/>
          </w:tcPr>
          <w:p>
            <w:pPr>
              <w:jc w:val="center"/>
            </w:pPr>
            <w:r/>
            <w:r>
              <w:rPr>
                <w:rFonts w:ascii="Times New Roman" w:hAnsi="Times New Roman"/>
                <w:sz w:val="18"/>
              </w:rPr>
              <w:t>3.21</w:t>
            </w:r>
          </w:p>
        </w:tc>
        <w:tc>
          <w:tcPr>
            <w:tcW w:type="dxa" w:w="1170"/>
          </w:tcPr>
          <w:p>
            <w:pPr>
              <w:jc w:val="center"/>
            </w:pPr>
            <w:r/>
            <w:r>
              <w:rPr>
                <w:rFonts w:ascii="Times New Roman" w:hAnsi="Times New Roman"/>
                <w:sz w:val="18"/>
              </w:rPr>
              <w:t>0.0702</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8.38</w:t>
            </w:r>
          </w:p>
        </w:tc>
        <w:tc>
          <w:tcPr>
            <w:tcW w:type="dxa" w:w="1170"/>
          </w:tcPr>
          <w:p>
            <w:pPr>
              <w:jc w:val="center"/>
            </w:pPr>
            <w:r/>
            <w:r>
              <w:rPr>
                <w:rFonts w:ascii="Times New Roman" w:hAnsi="Times New Roman"/>
                <w:sz w:val="18"/>
              </w:rPr>
              <w:t>0.0111*</w:t>
            </w:r>
          </w:p>
        </w:tc>
        <w:tc>
          <w:tcPr>
            <w:tcW w:type="dxa" w:w="1170"/>
          </w:tcPr>
          <w:p>
            <w:pPr>
              <w:jc w:val="center"/>
            </w:pPr>
            <w:r/>
            <w:r>
              <w:rPr>
                <w:rFonts w:ascii="Times New Roman" w:hAnsi="Times New Roman"/>
                <w:sz w:val="18"/>
              </w:rPr>
              <w:t>7.12</w:t>
            </w:r>
          </w:p>
        </w:tc>
        <w:tc>
          <w:tcPr>
            <w:tcW w:type="dxa" w:w="1170"/>
          </w:tcPr>
          <w:p>
            <w:pPr>
              <w:jc w:val="center"/>
            </w:pPr>
            <w:r/>
            <w:r>
              <w:rPr>
                <w:rFonts w:ascii="Times New Roman" w:hAnsi="Times New Roman"/>
                <w:sz w:val="18"/>
              </w:rPr>
              <w:t>0.0175*</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1.85</w:t>
            </w:r>
          </w:p>
        </w:tc>
        <w:tc>
          <w:tcPr>
            <w:tcW w:type="dxa" w:w="1170"/>
          </w:tcPr>
          <w:p>
            <w:pPr>
              <w:jc w:val="center"/>
            </w:pPr>
            <w:r/>
            <w:r>
              <w:rPr>
                <w:rFonts w:ascii="Times New Roman" w:hAnsi="Times New Roman"/>
                <w:sz w:val="18"/>
              </w:rPr>
              <w:t>0.2245</w:t>
            </w:r>
          </w:p>
        </w:tc>
        <w:tc>
          <w:tcPr>
            <w:tcW w:type="dxa" w:w="1170"/>
          </w:tcPr>
          <w:p>
            <w:pPr>
              <w:jc w:val="center"/>
            </w:pPr>
            <w:r/>
            <w:r>
              <w:rPr>
                <w:rFonts w:ascii="Times New Roman" w:hAnsi="Times New Roman"/>
                <w:sz w:val="18"/>
              </w:rPr>
              <w:t>1.68</w:t>
            </w:r>
          </w:p>
        </w:tc>
        <w:tc>
          <w:tcPr>
            <w:tcW w:type="dxa" w:w="1170"/>
          </w:tcPr>
          <w:p>
            <w:pPr>
              <w:jc w:val="center"/>
            </w:pPr>
            <w:r/>
            <w:r>
              <w:rPr>
                <w:rFonts w:ascii="Times New Roman" w:hAnsi="Times New Roman"/>
                <w:sz w:val="18"/>
              </w:rPr>
              <w:t>0.2139</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12.35</w:t>
            </w:r>
          </w:p>
        </w:tc>
        <w:tc>
          <w:tcPr>
            <w:tcW w:type="dxa" w:w="1170"/>
          </w:tcPr>
          <w:p>
            <w:pPr>
              <w:jc w:val="center"/>
            </w:pPr>
            <w:r/>
            <w:r>
              <w:rPr>
                <w:rFonts w:ascii="Times New Roman" w:hAnsi="Times New Roman"/>
                <w:sz w:val="18"/>
              </w:rPr>
              <w:t>0.0015*</w:t>
            </w:r>
          </w:p>
        </w:tc>
        <w:tc>
          <w:tcPr>
            <w:tcW w:type="dxa" w:w="1170"/>
          </w:tcPr>
          <w:p>
            <w:pPr>
              <w:jc w:val="center"/>
            </w:pPr>
            <w:r/>
            <w:r>
              <w:rPr>
                <w:rFonts w:ascii="Times New Roman" w:hAnsi="Times New Roman"/>
                <w:sz w:val="18"/>
              </w:rPr>
              <w:t>23.92</w:t>
            </w:r>
          </w:p>
        </w:tc>
        <w:tc>
          <w:tcPr>
            <w:tcW w:type="dxa" w:w="1170"/>
          </w:tcPr>
          <w:p>
            <w:pPr>
              <w:jc w:val="center"/>
            </w:pPr>
            <w:r/>
            <w:r>
              <w:rPr>
                <w:rFonts w:ascii="Times New Roman" w:hAnsi="Times New Roman"/>
                <w:sz w:val="18"/>
              </w:rPr>
              <w:t>0.0002*</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15.48</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4.15</w:t>
            </w:r>
          </w:p>
        </w:tc>
        <w:tc>
          <w:tcPr>
            <w:tcW w:type="dxa" w:w="1170"/>
          </w:tcPr>
          <w:p>
            <w:pPr>
              <w:jc w:val="center"/>
            </w:pPr>
            <w:r/>
            <w:r>
              <w:rPr>
                <w:rFonts w:ascii="Times New Roman" w:hAnsi="Times New Roman"/>
                <w:sz w:val="18"/>
              </w:rPr>
              <w:t>0.0404*</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8.20</w:t>
            </w:r>
          </w:p>
        </w:tc>
        <w:tc>
          <w:tcPr>
            <w:tcW w:type="dxa" w:w="1170"/>
          </w:tcPr>
          <w:p>
            <w:pPr>
              <w:jc w:val="center"/>
            </w:pPr>
            <w:r/>
            <w:r>
              <w:rPr>
                <w:rFonts w:ascii="Times New Roman" w:hAnsi="Times New Roman"/>
                <w:sz w:val="18"/>
              </w:rPr>
              <w:t>0.0118*</w:t>
            </w:r>
          </w:p>
        </w:tc>
        <w:tc>
          <w:tcPr>
            <w:tcW w:type="dxa" w:w="1170"/>
          </w:tcPr>
          <w:p>
            <w:pPr>
              <w:jc w:val="center"/>
            </w:pPr>
            <w:r/>
            <w:r>
              <w:rPr>
                <w:rFonts w:ascii="Times New Roman" w:hAnsi="Times New Roman"/>
                <w:sz w:val="18"/>
              </w:rPr>
              <w:t>2.08</w:t>
            </w:r>
          </w:p>
        </w:tc>
        <w:tc>
          <w:tcPr>
            <w:tcW w:type="dxa" w:w="1170"/>
          </w:tcPr>
          <w:p>
            <w:pPr>
              <w:jc w:val="center"/>
            </w:pPr>
            <w:r/>
            <w:r>
              <w:rPr>
                <w:rFonts w:ascii="Times New Roman" w:hAnsi="Times New Roman"/>
                <w:sz w:val="18"/>
              </w:rPr>
              <w:t>0.1696</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19.90</w:t>
            </w:r>
          </w:p>
        </w:tc>
        <w:tc>
          <w:tcPr>
            <w:tcW w:type="dxa" w:w="1170"/>
          </w:tcPr>
          <w:p>
            <w:pPr>
              <w:jc w:val="center"/>
            </w:pPr>
            <w:r/>
            <w:r>
              <w:rPr>
                <w:rFonts w:ascii="Times New Roman" w:hAnsi="Times New Roman"/>
                <w:sz w:val="18"/>
              </w:rPr>
              <w:t>0.0006*</w:t>
            </w:r>
          </w:p>
        </w:tc>
        <w:tc>
          <w:tcPr>
            <w:tcW w:type="dxa" w:w="1170"/>
          </w:tcPr>
          <w:p>
            <w:pPr>
              <w:jc w:val="center"/>
            </w:pPr>
            <w:r/>
            <w:r>
              <w:rPr>
                <w:rFonts w:ascii="Times New Roman" w:hAnsi="Times New Roman"/>
                <w:sz w:val="18"/>
              </w:rPr>
              <w:t>2.67</w:t>
            </w:r>
          </w:p>
        </w:tc>
        <w:tc>
          <w:tcPr>
            <w:tcW w:type="dxa" w:w="1170"/>
          </w:tcPr>
          <w:p>
            <w:pPr>
              <w:jc w:val="center"/>
            </w:pPr>
            <w:r/>
            <w:r>
              <w:rPr>
                <w:rFonts w:ascii="Times New Roman" w:hAnsi="Times New Roman"/>
                <w:sz w:val="18"/>
              </w:rPr>
              <w:t>0.1048</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9.48</w:t>
            </w:r>
          </w:p>
        </w:tc>
        <w:tc>
          <w:tcPr>
            <w:tcW w:type="dxa" w:w="1170"/>
          </w:tcPr>
          <w:p>
            <w:pPr>
              <w:jc w:val="center"/>
            </w:pPr>
            <w:r/>
            <w:r>
              <w:rPr>
                <w:rFonts w:ascii="Times New Roman" w:hAnsi="Times New Roman"/>
                <w:sz w:val="18"/>
              </w:rPr>
              <w:t>0.0038*</w:t>
            </w:r>
          </w:p>
        </w:tc>
        <w:tc>
          <w:tcPr>
            <w:tcW w:type="dxa" w:w="1170"/>
          </w:tcPr>
          <w:p>
            <w:pPr>
              <w:jc w:val="center"/>
            </w:pPr>
            <w:r/>
            <w:r>
              <w:rPr>
                <w:rFonts w:ascii="Times New Roman" w:hAnsi="Times New Roman"/>
                <w:sz w:val="18"/>
              </w:rPr>
              <w:t>4.13</w:t>
            </w:r>
          </w:p>
        </w:tc>
        <w:tc>
          <w:tcPr>
            <w:tcW w:type="dxa" w:w="1170"/>
          </w:tcPr>
          <w:p>
            <w:pPr>
              <w:jc w:val="center"/>
            </w:pPr>
            <w:r/>
            <w:r>
              <w:rPr>
                <w:rFonts w:ascii="Times New Roman" w:hAnsi="Times New Roman"/>
                <w:sz w:val="18"/>
              </w:rPr>
              <w:t>0.0602</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20.89</w:t>
            </w:r>
          </w:p>
        </w:tc>
        <w:tc>
          <w:tcPr>
            <w:tcW w:type="dxa" w:w="1170"/>
          </w:tcPr>
          <w:p>
            <w:pPr>
              <w:jc w:val="center"/>
            </w:pPr>
            <w:r/>
            <w:r>
              <w:rPr>
                <w:rFonts w:ascii="Times New Roman" w:hAnsi="Times New Roman"/>
                <w:sz w:val="18"/>
              </w:rPr>
              <w:t>0.0001*</w:t>
            </w:r>
          </w:p>
        </w:tc>
        <w:tc>
          <w:tcPr>
            <w:tcW w:type="dxa" w:w="1170"/>
          </w:tcPr>
          <w:p>
            <w:pPr>
              <w:jc w:val="center"/>
            </w:pPr>
            <w:r/>
            <w:r>
              <w:rPr>
                <w:rFonts w:ascii="Times New Roman" w:hAnsi="Times New Roman"/>
                <w:sz w:val="18"/>
              </w:rPr>
              <w:t>3.36</w:t>
            </w:r>
          </w:p>
        </w:tc>
        <w:tc>
          <w:tcPr>
            <w:tcW w:type="dxa" w:w="1170"/>
          </w:tcPr>
          <w:p>
            <w:pPr>
              <w:jc w:val="center"/>
            </w:pPr>
            <w:r/>
            <w:r>
              <w:rPr>
                <w:rFonts w:ascii="Times New Roman" w:hAnsi="Times New Roman"/>
                <w:sz w:val="18"/>
              </w:rPr>
              <w:t>0.0856</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1.39</w:t>
            </w:r>
          </w:p>
        </w:tc>
        <w:tc>
          <w:tcPr>
            <w:tcW w:type="dxa" w:w="1170"/>
          </w:tcPr>
          <w:p>
            <w:pPr>
              <w:jc w:val="center"/>
            </w:pPr>
            <w:r/>
            <w:r>
              <w:rPr>
                <w:rFonts w:ascii="Times New Roman" w:hAnsi="Times New Roman"/>
                <w:sz w:val="18"/>
              </w:rPr>
              <w:t>0.2565</w:t>
            </w:r>
          </w:p>
        </w:tc>
        <w:tc>
          <w:tcPr>
            <w:tcW w:type="dxa" w:w="1170"/>
          </w:tcPr>
          <w:p>
            <w:pPr>
              <w:jc w:val="center"/>
            </w:pPr>
            <w:r/>
            <w:r>
              <w:rPr>
                <w:rFonts w:ascii="Times New Roman" w:hAnsi="Times New Roman"/>
                <w:sz w:val="18"/>
              </w:rPr>
              <w:t>3.66</w:t>
            </w:r>
          </w:p>
        </w:tc>
        <w:tc>
          <w:tcPr>
            <w:tcW w:type="dxa" w:w="1170"/>
          </w:tcPr>
          <w:p>
            <w:pPr>
              <w:jc w:val="center"/>
            </w:pPr>
            <w:r/>
            <w:r>
              <w:rPr>
                <w:rFonts w:ascii="Times New Roman" w:hAnsi="Times New Roman"/>
                <w:sz w:val="18"/>
              </w:rPr>
              <w:t>0.0749</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1.37</w:t>
            </w:r>
          </w:p>
        </w:tc>
        <w:tc>
          <w:tcPr>
            <w:tcW w:type="dxa" w:w="1170"/>
          </w:tcPr>
          <w:p>
            <w:pPr>
              <w:jc w:val="center"/>
            </w:pPr>
            <w:r/>
            <w:r>
              <w:rPr>
                <w:rFonts w:ascii="Times New Roman" w:hAnsi="Times New Roman"/>
                <w:sz w:val="18"/>
              </w:rPr>
              <w:t>0.2595</w:t>
            </w:r>
          </w:p>
        </w:tc>
        <w:tc>
          <w:tcPr>
            <w:tcW w:type="dxa" w:w="1170"/>
          </w:tcPr>
          <w:p>
            <w:pPr>
              <w:jc w:val="center"/>
            </w:pPr>
            <w:r/>
            <w:r>
              <w:rPr>
                <w:rFonts w:ascii="Times New Roman" w:hAnsi="Times New Roman"/>
                <w:sz w:val="18"/>
              </w:rPr>
              <w:t>1.06</w:t>
            </w:r>
          </w:p>
        </w:tc>
        <w:tc>
          <w:tcPr>
            <w:tcW w:type="dxa" w:w="1170"/>
          </w:tcPr>
          <w:p>
            <w:pPr>
              <w:jc w:val="center"/>
            </w:pPr>
            <w:r/>
            <w:r>
              <w:rPr>
                <w:rFonts w:ascii="Times New Roman" w:hAnsi="Times New Roman"/>
                <w:sz w:val="18"/>
              </w:rPr>
              <w:t>0.3182</w:t>
            </w:r>
          </w:p>
        </w:tc>
      </w:tr>
    </w:tbl>
    <w:p/>
    <w:p>
      <w:pPr>
        <w:spacing w:after="120" w:line="480" w:lineRule="auto"/>
      </w:pPr>
      <w:r>
        <w:rPr>
          <w:rFonts w:ascii="Times New Roman" w:hAnsi="Times New Roman"/>
          <w:b w:val="0"/>
          <w:i w:val="0"/>
          <w:sz w:val="24"/>
        </w:rPr>
        <w:t>Significant reverse Granger causality (workforce → incidents) was observed in 8 models. Seven specialty–outcome combinations showed bidirectional causality: obstetrics and gynaecology (physicians and facilities), paediatrics (physicians and facilities), general surgery (physicians), ophthalmology (facilities), and otolaryngology (facilities).</w:t>
      </w:r>
    </w:p>
    <w:p>
      <w:pPr>
        <w:spacing w:after="120" w:line="480" w:lineRule="auto"/>
      </w:pPr>
      <w:r>
        <w:rPr>
          <w:rFonts w:ascii="Times New Roman" w:hAnsi="Times New Roman"/>
          <w:b w:val="0"/>
          <w:i w:val="0"/>
          <w:sz w:val="24"/>
        </w:rPr>
        <w:t>In the JMSR-based sensitivity analysis (Table 2), only 2 of 24 tests reached significance, reflecting the shorter series. However, general surgery (F = 23.04, P = 0.003) and psychiatry (F = 9.48, P = 0.022) were significant even with 10–11 observations.</w:t>
      </w:r>
    </w:p>
    <w:p>
      <w:pPr>
        <w:spacing w:after="120" w:before="240" w:line="480" w:lineRule="auto"/>
      </w:pPr>
      <w:r>
        <w:rPr>
          <w:rFonts w:ascii="Times New Roman" w:hAnsi="Times New Roman"/>
          <w:b/>
          <w:sz w:val="20"/>
        </w:rPr>
        <w:t>Table 2. Granger causality test results (JMSR data, sensitivity analysis, 10–11 observations). *P &lt; 0.05.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Specialty</w:t>
            </w:r>
          </w:p>
        </w:tc>
        <w:tc>
          <w:tcPr>
            <w:tcW w:type="dxa" w:w="1170"/>
          </w:tcPr>
          <w:p>
            <w:pPr>
              <w:jc w:val="center"/>
            </w:pPr>
            <w:r/>
            <w:r>
              <w:rPr>
                <w:rFonts w:ascii="Times New Roman" w:hAnsi="Times New Roman"/>
                <w:b/>
                <w:sz w:val="18"/>
              </w:rPr>
              <w:t>Outcome</w:t>
            </w:r>
          </w:p>
        </w:tc>
        <w:tc>
          <w:tcPr>
            <w:tcW w:type="dxa" w:w="1170"/>
          </w:tcPr>
          <w:p>
            <w:pPr>
              <w:jc w:val="center"/>
            </w:pPr>
            <w:r/>
            <w:r>
              <w:rPr>
                <w:rFonts w:ascii="Times New Roman" w:hAnsi="Times New Roman"/>
                <w:b/>
                <w:sz w:val="18"/>
              </w:rPr>
              <w:t>Lag</w:t>
            </w:r>
          </w:p>
        </w:tc>
        <w:tc>
          <w:tcPr>
            <w:tcW w:type="dxa" w:w="1170"/>
          </w:tcPr>
          <w:p>
            <w:pPr>
              <w:jc w:val="center"/>
            </w:pPr>
            <w:r/>
            <w:r>
              <w:rPr>
                <w:rFonts w:ascii="Times New Roman" w:hAnsi="Times New Roman"/>
                <w:b/>
                <w:sz w:val="18"/>
              </w:rPr>
              <w:t>n</w:t>
            </w:r>
          </w:p>
        </w:tc>
        <w:tc>
          <w:tcPr>
            <w:tcW w:type="dxa" w:w="1170"/>
          </w:tcPr>
          <w:p>
            <w:pPr>
              <w:jc w:val="center"/>
            </w:pPr>
            <w:r/>
            <w:r>
              <w:rPr>
                <w:rFonts w:ascii="Times New Roman" w:hAnsi="Times New Roman"/>
                <w:b/>
                <w:sz w:val="18"/>
              </w:rPr>
              <w:t>Forward F</w:t>
            </w:r>
          </w:p>
        </w:tc>
        <w:tc>
          <w:tcPr>
            <w:tcW w:type="dxa" w:w="1170"/>
          </w:tcPr>
          <w:p>
            <w:pPr>
              <w:jc w:val="center"/>
            </w:pPr>
            <w:r/>
            <w:r>
              <w:rPr>
                <w:rFonts w:ascii="Times New Roman" w:hAnsi="Times New Roman"/>
                <w:b/>
                <w:sz w:val="18"/>
              </w:rPr>
              <w:t>Forward P</w:t>
            </w:r>
          </w:p>
        </w:tc>
        <w:tc>
          <w:tcPr>
            <w:tcW w:type="dxa" w:w="1170"/>
          </w:tcPr>
          <w:p>
            <w:pPr>
              <w:jc w:val="center"/>
            </w:pPr>
            <w:r/>
            <w:r>
              <w:rPr>
                <w:rFonts w:ascii="Times New Roman" w:hAnsi="Times New Roman"/>
                <w:b/>
                <w:sz w:val="18"/>
              </w:rPr>
              <w:t>Reverse F</w:t>
            </w:r>
          </w:p>
        </w:tc>
        <w:tc>
          <w:tcPr>
            <w:tcW w:type="dxa" w:w="1170"/>
          </w:tcPr>
          <w:p>
            <w:pPr>
              <w:jc w:val="center"/>
            </w:pPr>
            <w:r/>
            <w:r>
              <w:rPr>
                <w:rFonts w:ascii="Times New Roman" w:hAnsi="Times New Roman"/>
                <w:b/>
                <w:sz w:val="18"/>
              </w:rPr>
              <w:t>Reverse P</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0.87</w:t>
            </w:r>
          </w:p>
        </w:tc>
        <w:tc>
          <w:tcPr>
            <w:tcW w:type="dxa" w:w="1170"/>
          </w:tcPr>
          <w:p>
            <w:pPr>
              <w:jc w:val="center"/>
            </w:pPr>
            <w:r/>
            <w:r>
              <w:rPr>
                <w:rFonts w:ascii="Times New Roman" w:hAnsi="Times New Roman"/>
                <w:sz w:val="18"/>
              </w:rPr>
              <w:t>0.5020</w:t>
            </w:r>
          </w:p>
        </w:tc>
        <w:tc>
          <w:tcPr>
            <w:tcW w:type="dxa" w:w="1170"/>
          </w:tcPr>
          <w:p>
            <w:pPr>
              <w:jc w:val="center"/>
            </w:pPr>
            <w:r/>
            <w:r>
              <w:rPr>
                <w:rFonts w:ascii="Times New Roman" w:hAnsi="Times New Roman"/>
                <w:sz w:val="18"/>
              </w:rPr>
              <w:t>2.53</w:t>
            </w:r>
          </w:p>
        </w:tc>
        <w:tc>
          <w:tcPr>
            <w:tcW w:type="dxa" w:w="1170"/>
          </w:tcPr>
          <w:p>
            <w:pPr>
              <w:jc w:val="center"/>
            </w:pPr>
            <w:r/>
            <w:r>
              <w:rPr>
                <w:rFonts w:ascii="Times New Roman" w:hAnsi="Times New Roman"/>
                <w:sz w:val="18"/>
              </w:rPr>
              <w:t>0.1627</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0.82</w:t>
            </w:r>
          </w:p>
        </w:tc>
        <w:tc>
          <w:tcPr>
            <w:tcW w:type="dxa" w:w="1170"/>
          </w:tcPr>
          <w:p>
            <w:pPr>
              <w:jc w:val="center"/>
            </w:pPr>
            <w:r/>
            <w:r>
              <w:rPr>
                <w:rFonts w:ascii="Times New Roman" w:hAnsi="Times New Roman"/>
                <w:sz w:val="18"/>
              </w:rPr>
              <w:t>0.5190</w:t>
            </w:r>
          </w:p>
        </w:tc>
        <w:tc>
          <w:tcPr>
            <w:tcW w:type="dxa" w:w="1170"/>
          </w:tcPr>
          <w:p>
            <w:pPr>
              <w:jc w:val="center"/>
            </w:pPr>
            <w:r/>
            <w:r>
              <w:rPr>
                <w:rFonts w:ascii="Times New Roman" w:hAnsi="Times New Roman"/>
                <w:sz w:val="18"/>
              </w:rPr>
              <w:t>2.58</w:t>
            </w:r>
          </w:p>
        </w:tc>
        <w:tc>
          <w:tcPr>
            <w:tcW w:type="dxa" w:w="1170"/>
          </w:tcPr>
          <w:p>
            <w:pPr>
              <w:jc w:val="center"/>
            </w:pPr>
            <w:r/>
            <w:r>
              <w:rPr>
                <w:rFonts w:ascii="Times New Roman" w:hAnsi="Times New Roman"/>
                <w:sz w:val="18"/>
              </w:rPr>
              <w:t>0.1596</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0.65</w:t>
            </w:r>
          </w:p>
        </w:tc>
        <w:tc>
          <w:tcPr>
            <w:tcW w:type="dxa" w:w="1170"/>
          </w:tcPr>
          <w:p>
            <w:pPr>
              <w:jc w:val="center"/>
            </w:pPr>
            <w:r/>
            <w:r>
              <w:rPr>
                <w:rFonts w:ascii="Times New Roman" w:hAnsi="Times New Roman"/>
                <w:sz w:val="18"/>
              </w:rPr>
              <w:t>0.4501</w:t>
            </w:r>
          </w:p>
        </w:tc>
        <w:tc>
          <w:tcPr>
            <w:tcW w:type="dxa" w:w="1170"/>
          </w:tcPr>
          <w:p>
            <w:pPr>
              <w:jc w:val="center"/>
            </w:pPr>
            <w:r/>
            <w:r>
              <w:rPr>
                <w:rFonts w:ascii="Times New Roman" w:hAnsi="Times New Roman"/>
                <w:sz w:val="18"/>
              </w:rPr>
              <w:t>0.71</w:t>
            </w:r>
          </w:p>
        </w:tc>
        <w:tc>
          <w:tcPr>
            <w:tcW w:type="dxa" w:w="1170"/>
          </w:tcPr>
          <w:p>
            <w:pPr>
              <w:jc w:val="center"/>
            </w:pPr>
            <w:r/>
            <w:r>
              <w:rPr>
                <w:rFonts w:ascii="Times New Roman" w:hAnsi="Times New Roman"/>
                <w:sz w:val="18"/>
              </w:rPr>
              <w:t>0.4318</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1.98</w:t>
            </w:r>
          </w:p>
        </w:tc>
        <w:tc>
          <w:tcPr>
            <w:tcW w:type="dxa" w:w="1170"/>
          </w:tcPr>
          <w:p>
            <w:pPr>
              <w:jc w:val="center"/>
            </w:pPr>
            <w:r/>
            <w:r>
              <w:rPr>
                <w:rFonts w:ascii="Times New Roman" w:hAnsi="Times New Roman"/>
                <w:sz w:val="18"/>
              </w:rPr>
              <w:t>0.2829</w:t>
            </w:r>
          </w:p>
        </w:tc>
        <w:tc>
          <w:tcPr>
            <w:tcW w:type="dxa" w:w="1170"/>
          </w:tcPr>
          <w:p>
            <w:pPr>
              <w:jc w:val="center"/>
            </w:pPr>
            <w:r/>
            <w:r>
              <w:rPr>
                <w:rFonts w:ascii="Times New Roman" w:hAnsi="Times New Roman"/>
                <w:sz w:val="18"/>
              </w:rPr>
              <w:t>31.91</w:t>
            </w:r>
          </w:p>
        </w:tc>
        <w:tc>
          <w:tcPr>
            <w:tcW w:type="dxa" w:w="1170"/>
          </w:tcPr>
          <w:p>
            <w:pPr>
              <w:jc w:val="center"/>
            </w:pPr>
            <w:r/>
            <w:r>
              <w:rPr>
                <w:rFonts w:ascii="Times New Roman" w:hAnsi="Times New Roman"/>
                <w:sz w:val="18"/>
              </w:rPr>
              <w:t>0.0013*</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23.04</w:t>
            </w:r>
          </w:p>
        </w:tc>
        <w:tc>
          <w:tcPr>
            <w:tcW w:type="dxa" w:w="1170"/>
          </w:tcPr>
          <w:p>
            <w:pPr>
              <w:jc w:val="center"/>
            </w:pPr>
            <w:r/>
            <w:r>
              <w:rPr>
                <w:rFonts w:ascii="Times New Roman" w:hAnsi="Times New Roman"/>
                <w:sz w:val="18"/>
              </w:rPr>
              <w:t>0.0030*</w:t>
            </w:r>
          </w:p>
        </w:tc>
        <w:tc>
          <w:tcPr>
            <w:tcW w:type="dxa" w:w="1170"/>
          </w:tcPr>
          <w:p>
            <w:pPr>
              <w:jc w:val="center"/>
            </w:pPr>
            <w:r/>
            <w:r>
              <w:rPr>
                <w:rFonts w:ascii="Times New Roman" w:hAnsi="Times New Roman"/>
                <w:sz w:val="18"/>
              </w:rPr>
              <w:t>32.37</w:t>
            </w:r>
          </w:p>
        </w:tc>
        <w:tc>
          <w:tcPr>
            <w:tcW w:type="dxa" w:w="1170"/>
          </w:tcPr>
          <w:p>
            <w:pPr>
              <w:jc w:val="center"/>
            </w:pPr>
            <w:r/>
            <w:r>
              <w:rPr>
                <w:rFonts w:ascii="Times New Roman" w:hAnsi="Times New Roman"/>
                <w:sz w:val="18"/>
              </w:rPr>
              <w:t>0.0013*</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4.89</w:t>
            </w:r>
          </w:p>
        </w:tc>
        <w:tc>
          <w:tcPr>
            <w:tcW w:type="dxa" w:w="1170"/>
          </w:tcPr>
          <w:p>
            <w:pPr>
              <w:jc w:val="center"/>
            </w:pPr>
            <w:r/>
            <w:r>
              <w:rPr>
                <w:rFonts w:ascii="Times New Roman" w:hAnsi="Times New Roman"/>
                <w:sz w:val="18"/>
              </w:rPr>
              <w:t>0.0690</w:t>
            </w:r>
          </w:p>
        </w:tc>
        <w:tc>
          <w:tcPr>
            <w:tcW w:type="dxa" w:w="1170"/>
          </w:tcPr>
          <w:p>
            <w:pPr>
              <w:jc w:val="center"/>
            </w:pPr>
            <w:r/>
            <w:r>
              <w:rPr>
                <w:rFonts w:ascii="Times New Roman" w:hAnsi="Times New Roman"/>
                <w:sz w:val="18"/>
              </w:rPr>
              <w:t>0.61</w:t>
            </w:r>
          </w:p>
        </w:tc>
        <w:tc>
          <w:tcPr>
            <w:tcW w:type="dxa" w:w="1170"/>
          </w:tcPr>
          <w:p>
            <w:pPr>
              <w:jc w:val="center"/>
            </w:pPr>
            <w:r/>
            <w:r>
              <w:rPr>
                <w:rFonts w:ascii="Times New Roman" w:hAnsi="Times New Roman"/>
                <w:sz w:val="18"/>
              </w:rPr>
              <w:t>0.6001</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2.10</w:t>
            </w:r>
          </w:p>
        </w:tc>
        <w:tc>
          <w:tcPr>
            <w:tcW w:type="dxa" w:w="1170"/>
          </w:tcPr>
          <w:p>
            <w:pPr>
              <w:jc w:val="center"/>
            </w:pPr>
            <w:r/>
            <w:r>
              <w:rPr>
                <w:rFonts w:ascii="Times New Roman" w:hAnsi="Times New Roman"/>
                <w:sz w:val="18"/>
              </w:rPr>
              <w:t>0.1971</w:t>
            </w:r>
          </w:p>
        </w:tc>
        <w:tc>
          <w:tcPr>
            <w:tcW w:type="dxa" w:w="1170"/>
          </w:tcPr>
          <w:p>
            <w:pPr>
              <w:jc w:val="center"/>
            </w:pPr>
            <w:r/>
            <w:r>
              <w:rPr>
                <w:rFonts w:ascii="Times New Roman" w:hAnsi="Times New Roman"/>
                <w:sz w:val="18"/>
              </w:rPr>
              <w:t>3.62</w:t>
            </w:r>
          </w:p>
        </w:tc>
        <w:tc>
          <w:tcPr>
            <w:tcW w:type="dxa" w:w="1170"/>
          </w:tcPr>
          <w:p>
            <w:pPr>
              <w:jc w:val="center"/>
            </w:pPr>
            <w:r/>
            <w:r>
              <w:rPr>
                <w:rFonts w:ascii="Times New Roman" w:hAnsi="Times New Roman"/>
                <w:sz w:val="18"/>
              </w:rPr>
              <w:t>0.1584</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4.03</w:t>
            </w:r>
          </w:p>
        </w:tc>
        <w:tc>
          <w:tcPr>
            <w:tcW w:type="dxa" w:w="1170"/>
          </w:tcPr>
          <w:p>
            <w:pPr>
              <w:jc w:val="center"/>
            </w:pPr>
            <w:r/>
            <w:r>
              <w:rPr>
                <w:rFonts w:ascii="Times New Roman" w:hAnsi="Times New Roman"/>
                <w:sz w:val="18"/>
              </w:rPr>
              <w:t>0.1414</w:t>
            </w:r>
          </w:p>
        </w:tc>
        <w:tc>
          <w:tcPr>
            <w:tcW w:type="dxa" w:w="1170"/>
          </w:tcPr>
          <w:p>
            <w:pPr>
              <w:jc w:val="center"/>
            </w:pPr>
            <w:r/>
            <w:r>
              <w:rPr>
                <w:rFonts w:ascii="Times New Roman" w:hAnsi="Times New Roman"/>
                <w:sz w:val="18"/>
              </w:rPr>
              <w:t>15.28</w:t>
            </w:r>
          </w:p>
        </w:tc>
        <w:tc>
          <w:tcPr>
            <w:tcW w:type="dxa" w:w="1170"/>
          </w:tcPr>
          <w:p>
            <w:pPr>
              <w:jc w:val="center"/>
            </w:pPr>
            <w:r/>
            <w:r>
              <w:rPr>
                <w:rFonts w:ascii="Times New Roman" w:hAnsi="Times New Roman"/>
                <w:sz w:val="18"/>
              </w:rPr>
              <w:t>0.0079*</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1.87</w:t>
            </w:r>
          </w:p>
        </w:tc>
        <w:tc>
          <w:tcPr>
            <w:tcW w:type="dxa" w:w="1170"/>
          </w:tcPr>
          <w:p>
            <w:pPr>
              <w:jc w:val="center"/>
            </w:pPr>
            <w:r/>
            <w:r>
              <w:rPr>
                <w:rFonts w:ascii="Times New Roman" w:hAnsi="Times New Roman"/>
                <w:sz w:val="18"/>
              </w:rPr>
              <w:t>0.2202</w:t>
            </w:r>
          </w:p>
        </w:tc>
        <w:tc>
          <w:tcPr>
            <w:tcW w:type="dxa" w:w="1170"/>
          </w:tcPr>
          <w:p>
            <w:pPr>
              <w:jc w:val="center"/>
            </w:pPr>
            <w:r/>
            <w:r>
              <w:rPr>
                <w:rFonts w:ascii="Times New Roman" w:hAnsi="Times New Roman"/>
                <w:sz w:val="18"/>
              </w:rPr>
              <w:t>14.04</w:t>
            </w:r>
          </w:p>
        </w:tc>
        <w:tc>
          <w:tcPr>
            <w:tcW w:type="dxa" w:w="1170"/>
          </w:tcPr>
          <w:p>
            <w:pPr>
              <w:jc w:val="center"/>
            </w:pPr>
            <w:r/>
            <w:r>
              <w:rPr>
                <w:rFonts w:ascii="Times New Roman" w:hAnsi="Times New Roman"/>
                <w:sz w:val="18"/>
              </w:rPr>
              <w:t>0.0095*</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0.87</w:t>
            </w:r>
          </w:p>
        </w:tc>
        <w:tc>
          <w:tcPr>
            <w:tcW w:type="dxa" w:w="1170"/>
          </w:tcPr>
          <w:p>
            <w:pPr>
              <w:jc w:val="center"/>
            </w:pPr>
            <w:r/>
            <w:r>
              <w:rPr>
                <w:rFonts w:ascii="Times New Roman" w:hAnsi="Times New Roman"/>
                <w:sz w:val="18"/>
              </w:rPr>
              <w:t>0.5047</w:t>
            </w:r>
          </w:p>
        </w:tc>
        <w:tc>
          <w:tcPr>
            <w:tcW w:type="dxa" w:w="1170"/>
          </w:tcPr>
          <w:p>
            <w:pPr>
              <w:jc w:val="center"/>
            </w:pPr>
            <w:r/>
            <w:r>
              <w:rPr>
                <w:rFonts w:ascii="Times New Roman" w:hAnsi="Times New Roman"/>
                <w:sz w:val="18"/>
              </w:rPr>
              <w:t>0.46</w:t>
            </w:r>
          </w:p>
        </w:tc>
        <w:tc>
          <w:tcPr>
            <w:tcW w:type="dxa" w:w="1170"/>
          </w:tcPr>
          <w:p>
            <w:pPr>
              <w:jc w:val="center"/>
            </w:pPr>
            <w:r/>
            <w:r>
              <w:rPr>
                <w:rFonts w:ascii="Times New Roman" w:hAnsi="Times New Roman"/>
                <w:sz w:val="18"/>
              </w:rPr>
              <w:t>0.6684</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0.51</w:t>
            </w:r>
          </w:p>
        </w:tc>
        <w:tc>
          <w:tcPr>
            <w:tcW w:type="dxa" w:w="1170"/>
          </w:tcPr>
          <w:p>
            <w:pPr>
              <w:jc w:val="center"/>
            </w:pPr>
            <w:r/>
            <w:r>
              <w:rPr>
                <w:rFonts w:ascii="Times New Roman" w:hAnsi="Times New Roman"/>
                <w:sz w:val="18"/>
              </w:rPr>
              <w:t>0.6457</w:t>
            </w:r>
          </w:p>
        </w:tc>
        <w:tc>
          <w:tcPr>
            <w:tcW w:type="dxa" w:w="1170"/>
          </w:tcPr>
          <w:p>
            <w:pPr>
              <w:jc w:val="center"/>
            </w:pPr>
            <w:r/>
            <w:r>
              <w:rPr>
                <w:rFonts w:ascii="Times New Roman" w:hAnsi="Times New Roman"/>
                <w:sz w:val="18"/>
              </w:rPr>
              <w:t>4.21</w:t>
            </w:r>
          </w:p>
        </w:tc>
        <w:tc>
          <w:tcPr>
            <w:tcW w:type="dxa" w:w="1170"/>
          </w:tcPr>
          <w:p>
            <w:pPr>
              <w:jc w:val="center"/>
            </w:pPr>
            <w:r/>
            <w:r>
              <w:rPr>
                <w:rFonts w:ascii="Times New Roman" w:hAnsi="Times New Roman"/>
                <w:sz w:val="18"/>
              </w:rPr>
              <w:t>0.1347</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1.99</w:t>
            </w:r>
          </w:p>
        </w:tc>
        <w:tc>
          <w:tcPr>
            <w:tcW w:type="dxa" w:w="1170"/>
          </w:tcPr>
          <w:p>
            <w:pPr>
              <w:jc w:val="center"/>
            </w:pPr>
            <w:r/>
            <w:r>
              <w:rPr>
                <w:rFonts w:ascii="Times New Roman" w:hAnsi="Times New Roman"/>
                <w:sz w:val="18"/>
              </w:rPr>
              <w:t>0.2822</w:t>
            </w:r>
          </w:p>
        </w:tc>
        <w:tc>
          <w:tcPr>
            <w:tcW w:type="dxa" w:w="1170"/>
          </w:tcPr>
          <w:p>
            <w:pPr>
              <w:jc w:val="center"/>
            </w:pPr>
            <w:r/>
            <w:r>
              <w:rPr>
                <w:rFonts w:ascii="Times New Roman" w:hAnsi="Times New Roman"/>
                <w:sz w:val="18"/>
              </w:rPr>
              <w:t>2.51</w:t>
            </w:r>
          </w:p>
        </w:tc>
        <w:tc>
          <w:tcPr>
            <w:tcW w:type="dxa" w:w="1170"/>
          </w:tcPr>
          <w:p>
            <w:pPr>
              <w:jc w:val="center"/>
            </w:pPr>
            <w:r/>
            <w:r>
              <w:rPr>
                <w:rFonts w:ascii="Times New Roman" w:hAnsi="Times New Roman"/>
                <w:sz w:val="18"/>
              </w:rPr>
              <w:t>0.2290</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0.80</w:t>
            </w:r>
          </w:p>
        </w:tc>
        <w:tc>
          <w:tcPr>
            <w:tcW w:type="dxa" w:w="1170"/>
          </w:tcPr>
          <w:p>
            <w:pPr>
              <w:jc w:val="center"/>
            </w:pPr>
            <w:r/>
            <w:r>
              <w:rPr>
                <w:rFonts w:ascii="Times New Roman" w:hAnsi="Times New Roman"/>
                <w:sz w:val="18"/>
              </w:rPr>
              <w:t>0.5272</w:t>
            </w:r>
          </w:p>
        </w:tc>
        <w:tc>
          <w:tcPr>
            <w:tcW w:type="dxa" w:w="1170"/>
          </w:tcPr>
          <w:p>
            <w:pPr>
              <w:jc w:val="center"/>
            </w:pPr>
            <w:r/>
            <w:r>
              <w:rPr>
                <w:rFonts w:ascii="Times New Roman" w:hAnsi="Times New Roman"/>
                <w:sz w:val="18"/>
              </w:rPr>
              <w:t>5.85</w:t>
            </w:r>
          </w:p>
        </w:tc>
        <w:tc>
          <w:tcPr>
            <w:tcW w:type="dxa" w:w="1170"/>
          </w:tcPr>
          <w:p>
            <w:pPr>
              <w:jc w:val="center"/>
            </w:pPr>
            <w:r/>
            <w:r>
              <w:rPr>
                <w:rFonts w:ascii="Times New Roman" w:hAnsi="Times New Roman"/>
                <w:sz w:val="18"/>
              </w:rPr>
              <w:t>0.0922</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0.34</w:t>
            </w:r>
          </w:p>
        </w:tc>
        <w:tc>
          <w:tcPr>
            <w:tcW w:type="dxa" w:w="1170"/>
          </w:tcPr>
          <w:p>
            <w:pPr>
              <w:jc w:val="center"/>
            </w:pPr>
            <w:r/>
            <w:r>
              <w:rPr>
                <w:rFonts w:ascii="Times New Roman" w:hAnsi="Times New Roman"/>
                <w:sz w:val="18"/>
              </w:rPr>
              <w:t>0.7382</w:t>
            </w:r>
          </w:p>
        </w:tc>
        <w:tc>
          <w:tcPr>
            <w:tcW w:type="dxa" w:w="1170"/>
          </w:tcPr>
          <w:p>
            <w:pPr>
              <w:jc w:val="center"/>
            </w:pPr>
            <w:r/>
            <w:r>
              <w:rPr>
                <w:rFonts w:ascii="Times New Roman" w:hAnsi="Times New Roman"/>
                <w:sz w:val="18"/>
              </w:rPr>
              <w:t>1.85</w:t>
            </w:r>
          </w:p>
        </w:tc>
        <w:tc>
          <w:tcPr>
            <w:tcW w:type="dxa" w:w="1170"/>
          </w:tcPr>
          <w:p>
            <w:pPr>
              <w:jc w:val="center"/>
            </w:pPr>
            <w:r/>
            <w:r>
              <w:rPr>
                <w:rFonts w:ascii="Times New Roman" w:hAnsi="Times New Roman"/>
                <w:sz w:val="18"/>
              </w:rPr>
              <w:t>0.2227</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2.21</w:t>
            </w:r>
          </w:p>
        </w:tc>
        <w:tc>
          <w:tcPr>
            <w:tcW w:type="dxa" w:w="1170"/>
          </w:tcPr>
          <w:p>
            <w:pPr>
              <w:jc w:val="center"/>
            </w:pPr>
            <w:r/>
            <w:r>
              <w:rPr>
                <w:rFonts w:ascii="Times New Roman" w:hAnsi="Times New Roman"/>
                <w:sz w:val="18"/>
              </w:rPr>
              <w:t>0.1875</w:t>
            </w:r>
          </w:p>
        </w:tc>
        <w:tc>
          <w:tcPr>
            <w:tcW w:type="dxa" w:w="1170"/>
          </w:tcPr>
          <w:p>
            <w:pPr>
              <w:jc w:val="center"/>
            </w:pPr>
            <w:r/>
            <w:r>
              <w:rPr>
                <w:rFonts w:ascii="Times New Roman" w:hAnsi="Times New Roman"/>
                <w:sz w:val="18"/>
              </w:rPr>
              <w:t>0.93</w:t>
            </w:r>
          </w:p>
        </w:tc>
        <w:tc>
          <w:tcPr>
            <w:tcW w:type="dxa" w:w="1170"/>
          </w:tcPr>
          <w:p>
            <w:pPr>
              <w:jc w:val="center"/>
            </w:pPr>
            <w:r/>
            <w:r>
              <w:rPr>
                <w:rFonts w:ascii="Times New Roman" w:hAnsi="Times New Roman"/>
                <w:sz w:val="18"/>
              </w:rPr>
              <w:t>0.3714</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1.06</w:t>
            </w:r>
          </w:p>
        </w:tc>
        <w:tc>
          <w:tcPr>
            <w:tcW w:type="dxa" w:w="1170"/>
          </w:tcPr>
          <w:p>
            <w:pPr>
              <w:jc w:val="center"/>
            </w:pPr>
            <w:r/>
            <w:r>
              <w:rPr>
                <w:rFonts w:ascii="Times New Roman" w:hAnsi="Times New Roman"/>
                <w:sz w:val="18"/>
              </w:rPr>
              <w:t>0.3430</w:t>
            </w:r>
          </w:p>
        </w:tc>
        <w:tc>
          <w:tcPr>
            <w:tcW w:type="dxa" w:w="1170"/>
          </w:tcPr>
          <w:p>
            <w:pPr>
              <w:jc w:val="center"/>
            </w:pPr>
            <w:r/>
            <w:r>
              <w:rPr>
                <w:rFonts w:ascii="Times New Roman" w:hAnsi="Times New Roman"/>
                <w:sz w:val="18"/>
              </w:rPr>
              <w:t>0.99</w:t>
            </w:r>
          </w:p>
        </w:tc>
        <w:tc>
          <w:tcPr>
            <w:tcW w:type="dxa" w:w="1170"/>
          </w:tcPr>
          <w:p>
            <w:pPr>
              <w:jc w:val="center"/>
            </w:pPr>
            <w:r/>
            <w:r>
              <w:rPr>
                <w:rFonts w:ascii="Times New Roman" w:hAnsi="Times New Roman"/>
                <w:sz w:val="18"/>
              </w:rPr>
              <w:t>0.3582</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0.77</w:t>
            </w:r>
          </w:p>
        </w:tc>
        <w:tc>
          <w:tcPr>
            <w:tcW w:type="dxa" w:w="1170"/>
          </w:tcPr>
          <w:p>
            <w:pPr>
              <w:jc w:val="center"/>
            </w:pPr>
            <w:r/>
            <w:r>
              <w:rPr>
                <w:rFonts w:ascii="Times New Roman" w:hAnsi="Times New Roman"/>
                <w:sz w:val="18"/>
              </w:rPr>
              <w:t>0.4144</w:t>
            </w:r>
          </w:p>
        </w:tc>
        <w:tc>
          <w:tcPr>
            <w:tcW w:type="dxa" w:w="1170"/>
          </w:tcPr>
          <w:p>
            <w:pPr>
              <w:jc w:val="center"/>
            </w:pPr>
            <w:r/>
            <w:r>
              <w:rPr>
                <w:rFonts w:ascii="Times New Roman" w:hAnsi="Times New Roman"/>
                <w:sz w:val="18"/>
              </w:rPr>
              <w:t>1.01</w:t>
            </w:r>
          </w:p>
        </w:tc>
        <w:tc>
          <w:tcPr>
            <w:tcW w:type="dxa" w:w="1170"/>
          </w:tcPr>
          <w:p>
            <w:pPr>
              <w:jc w:val="center"/>
            </w:pPr>
            <w:r/>
            <w:r>
              <w:rPr>
                <w:rFonts w:ascii="Times New Roman" w:hAnsi="Times New Roman"/>
                <w:sz w:val="18"/>
              </w:rPr>
              <w:t>0.3547</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1.00</w:t>
            </w:r>
          </w:p>
        </w:tc>
        <w:tc>
          <w:tcPr>
            <w:tcW w:type="dxa" w:w="1170"/>
          </w:tcPr>
          <w:p>
            <w:pPr>
              <w:jc w:val="center"/>
            </w:pPr>
            <w:r/>
            <w:r>
              <w:rPr>
                <w:rFonts w:ascii="Times New Roman" w:hAnsi="Times New Roman"/>
                <w:sz w:val="18"/>
              </w:rPr>
              <w:t>0.4641</w:t>
            </w:r>
          </w:p>
        </w:tc>
        <w:tc>
          <w:tcPr>
            <w:tcW w:type="dxa" w:w="1170"/>
          </w:tcPr>
          <w:p>
            <w:pPr>
              <w:jc w:val="center"/>
            </w:pPr>
            <w:r/>
            <w:r>
              <w:rPr>
                <w:rFonts w:ascii="Times New Roman" w:hAnsi="Times New Roman"/>
                <w:sz w:val="18"/>
              </w:rPr>
              <w:t>0.09</w:t>
            </w:r>
          </w:p>
        </w:tc>
        <w:tc>
          <w:tcPr>
            <w:tcW w:type="dxa" w:w="1170"/>
          </w:tcPr>
          <w:p>
            <w:pPr>
              <w:jc w:val="center"/>
            </w:pPr>
            <w:r/>
            <w:r>
              <w:rPr>
                <w:rFonts w:ascii="Times New Roman" w:hAnsi="Times New Roman"/>
                <w:sz w:val="18"/>
              </w:rPr>
              <w:t>0.7700</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0.28</w:t>
            </w:r>
          </w:p>
        </w:tc>
        <w:tc>
          <w:tcPr>
            <w:tcW w:type="dxa" w:w="1170"/>
          </w:tcPr>
          <w:p>
            <w:pPr>
              <w:jc w:val="center"/>
            </w:pPr>
            <w:r/>
            <w:r>
              <w:rPr>
                <w:rFonts w:ascii="Times New Roman" w:hAnsi="Times New Roman"/>
                <w:sz w:val="18"/>
              </w:rPr>
              <w:t>0.6156</w:t>
            </w:r>
          </w:p>
        </w:tc>
        <w:tc>
          <w:tcPr>
            <w:tcW w:type="dxa" w:w="1170"/>
          </w:tcPr>
          <w:p>
            <w:pPr>
              <w:jc w:val="center"/>
            </w:pPr>
            <w:r/>
            <w:r>
              <w:rPr>
                <w:rFonts w:ascii="Times New Roman" w:hAnsi="Times New Roman"/>
                <w:sz w:val="18"/>
              </w:rPr>
              <w:t>1.43</w:t>
            </w:r>
          </w:p>
        </w:tc>
        <w:tc>
          <w:tcPr>
            <w:tcW w:type="dxa" w:w="1170"/>
          </w:tcPr>
          <w:p>
            <w:pPr>
              <w:jc w:val="center"/>
            </w:pPr>
            <w:r/>
            <w:r>
              <w:rPr>
                <w:rFonts w:ascii="Times New Roman" w:hAnsi="Times New Roman"/>
                <w:sz w:val="18"/>
              </w:rPr>
              <w:t>0.3659</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5.65</w:t>
            </w:r>
          </w:p>
        </w:tc>
        <w:tc>
          <w:tcPr>
            <w:tcW w:type="dxa" w:w="1170"/>
          </w:tcPr>
          <w:p>
            <w:pPr>
              <w:jc w:val="center"/>
            </w:pPr>
            <w:r/>
            <w:r>
              <w:rPr>
                <w:rFonts w:ascii="Times New Roman" w:hAnsi="Times New Roman"/>
                <w:sz w:val="18"/>
              </w:rPr>
              <w:t>0.0550</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9.48</w:t>
            </w:r>
          </w:p>
        </w:tc>
        <w:tc>
          <w:tcPr>
            <w:tcW w:type="dxa" w:w="1170"/>
          </w:tcPr>
          <w:p>
            <w:pPr>
              <w:jc w:val="center"/>
            </w:pPr>
            <w:r/>
            <w:r>
              <w:rPr>
                <w:rFonts w:ascii="Times New Roman" w:hAnsi="Times New Roman"/>
                <w:sz w:val="18"/>
              </w:rPr>
              <w:t>0.0217*</w:t>
            </w:r>
          </w:p>
        </w:tc>
        <w:tc>
          <w:tcPr>
            <w:tcW w:type="dxa" w:w="1170"/>
          </w:tcPr>
          <w:p>
            <w:pPr>
              <w:jc w:val="center"/>
            </w:pPr>
            <w:r/>
            <w:r>
              <w:rPr>
                <w:rFonts w:ascii="Times New Roman" w:hAnsi="Times New Roman"/>
                <w:sz w:val="18"/>
              </w:rPr>
              <w:t>5.20</w:t>
            </w:r>
          </w:p>
        </w:tc>
        <w:tc>
          <w:tcPr>
            <w:tcW w:type="dxa" w:w="1170"/>
          </w:tcPr>
          <w:p>
            <w:pPr>
              <w:jc w:val="center"/>
            </w:pPr>
            <w:r/>
            <w:r>
              <w:rPr>
                <w:rFonts w:ascii="Times New Roman" w:hAnsi="Times New Roman"/>
                <w:sz w:val="18"/>
              </w:rPr>
              <w:t>0.0627</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1.04</w:t>
            </w:r>
          </w:p>
        </w:tc>
        <w:tc>
          <w:tcPr>
            <w:tcW w:type="dxa" w:w="1170"/>
          </w:tcPr>
          <w:p>
            <w:pPr>
              <w:jc w:val="center"/>
            </w:pPr>
            <w:r/>
            <w:r>
              <w:rPr>
                <w:rFonts w:ascii="Times New Roman" w:hAnsi="Times New Roman"/>
                <w:sz w:val="18"/>
              </w:rPr>
              <w:t>0.3481</w:t>
            </w:r>
          </w:p>
        </w:tc>
        <w:tc>
          <w:tcPr>
            <w:tcW w:type="dxa" w:w="1170"/>
          </w:tcPr>
          <w:p>
            <w:pPr>
              <w:jc w:val="center"/>
            </w:pPr>
            <w:r/>
            <w:r>
              <w:rPr>
                <w:rFonts w:ascii="Times New Roman" w:hAnsi="Times New Roman"/>
                <w:sz w:val="18"/>
              </w:rPr>
              <w:t>4.43</w:t>
            </w:r>
          </w:p>
        </w:tc>
        <w:tc>
          <w:tcPr>
            <w:tcW w:type="dxa" w:w="1170"/>
          </w:tcPr>
          <w:p>
            <w:pPr>
              <w:jc w:val="center"/>
            </w:pPr>
            <w:r/>
            <w:r>
              <w:rPr>
                <w:rFonts w:ascii="Times New Roman" w:hAnsi="Times New Roman"/>
                <w:sz w:val="18"/>
              </w:rPr>
              <w:t>0.1273</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0.29</w:t>
            </w:r>
          </w:p>
        </w:tc>
        <w:tc>
          <w:tcPr>
            <w:tcW w:type="dxa" w:w="1170"/>
          </w:tcPr>
          <w:p>
            <w:pPr>
              <w:jc w:val="center"/>
            </w:pPr>
            <w:r/>
            <w:r>
              <w:rPr>
                <w:rFonts w:ascii="Times New Roman" w:hAnsi="Times New Roman"/>
                <w:sz w:val="18"/>
              </w:rPr>
              <w:t>0.6120</w:t>
            </w:r>
          </w:p>
        </w:tc>
        <w:tc>
          <w:tcPr>
            <w:tcW w:type="dxa" w:w="1170"/>
          </w:tcPr>
          <w:p>
            <w:pPr>
              <w:jc w:val="center"/>
            </w:pPr>
            <w:r/>
            <w:r>
              <w:rPr>
                <w:rFonts w:ascii="Times New Roman" w:hAnsi="Times New Roman"/>
                <w:sz w:val="18"/>
              </w:rPr>
              <w:t>0.90</w:t>
            </w:r>
          </w:p>
        </w:tc>
        <w:tc>
          <w:tcPr>
            <w:tcW w:type="dxa" w:w="1170"/>
          </w:tcPr>
          <w:p>
            <w:pPr>
              <w:jc w:val="center"/>
            </w:pPr>
            <w:r/>
            <w:r>
              <w:rPr>
                <w:rFonts w:ascii="Times New Roman" w:hAnsi="Times New Roman"/>
                <w:sz w:val="18"/>
              </w:rPr>
              <w:t>0.4946</w:t>
            </w:r>
          </w:p>
        </w:tc>
      </w:tr>
    </w:tbl>
    <w:p/>
    <w:p>
      <w:pPr>
        <w:pStyle w:val="Heading2"/>
      </w:pPr>
      <w:r>
        <w:rPr>
          <w:rFonts w:ascii="Times New Roman" w:hAnsi="Times New Roman"/>
          <w:color w:val="000000"/>
        </w:rPr>
        <w:t>Impulse response functions</w:t>
      </w:r>
    </w:p>
    <w:p>
      <w:pPr>
        <w:spacing w:after="120" w:line="480" w:lineRule="auto"/>
      </w:pPr>
      <w:r>
        <w:rPr>
          <w:rFonts w:ascii="Times New Roman" w:hAnsi="Times New Roman"/>
          <w:b w:val="0"/>
          <w:i w:val="0"/>
          <w:sz w:val="24"/>
        </w:rPr>
        <w:t>Figure 2 displays physician-count IRFs following a one-unit litigation shock for six key specialties. Obstetrics and gynaecology exhibited a sustained negative response peaking at 2–3 years and persisting approximately 5 years; general surgery followed a similar trajectory attenuating by year 4. Facility-count IRFs appear in Figure 3.</w:t>
      </w:r>
    </w:p>
    <w:p>
      <w:pPr>
        <w:spacing w:before="240" w:after="120" w:line="480" w:lineRule="auto"/>
      </w:pPr>
      <w:r>
        <w:rPr>
          <w:rFonts w:ascii="Times New Roman" w:hAnsi="Times New Roman"/>
          <w:b/>
          <w:sz w:val="20"/>
        </w:rPr>
        <w:t>Figure 2. IRF: physician count response to a one-unit litigation shock.</w:t>
      </w:r>
    </w:p>
    <w:p>
      <w:pPr>
        <w:jc w:val="center"/>
      </w:pPr>
      <w:r>
        <w:drawing>
          <wp:inline xmlns:a="http://schemas.openxmlformats.org/drawingml/2006/main" xmlns:pic="http://schemas.openxmlformats.org/drawingml/2006/picture">
            <wp:extent cx="5029200" cy="5927271"/>
            <wp:docPr id="2" name="Picture 2"/>
            <wp:cNvGraphicFramePr>
              <a:graphicFrameLocks noChangeAspect="1"/>
            </wp:cNvGraphicFramePr>
            <a:graphic>
              <a:graphicData uri="http://schemas.openxmlformats.org/drawingml/2006/picture">
                <pic:pic>
                  <pic:nvPicPr>
                    <pic:cNvPr id="0" name="fig2_irf_physicians.png"/>
                    <pic:cNvPicPr/>
                  </pic:nvPicPr>
                  <pic:blipFill>
                    <a:blip r:embed="rId10"/>
                    <a:stretch>
                      <a:fillRect/>
                    </a:stretch>
                  </pic:blipFill>
                  <pic:spPr>
                    <a:xfrm>
                      <a:off x="0" y="0"/>
                      <a:ext cx="5029200" cy="5927271"/>
                    </a:xfrm>
                    <a:prstGeom prst="rect"/>
                  </pic:spPr>
                </pic:pic>
              </a:graphicData>
            </a:graphic>
          </wp:inline>
        </w:drawing>
      </w:r>
    </w:p>
    <w:p/>
    <w:p>
      <w:pPr>
        <w:spacing w:before="240" w:after="120" w:line="480" w:lineRule="auto"/>
      </w:pPr>
      <w:r>
        <w:rPr>
          <w:rFonts w:ascii="Times New Roman" w:hAnsi="Times New Roman"/>
          <w:b/>
          <w:sz w:val="20"/>
        </w:rPr>
        <w:t>Figure 3. IRF: facility count response to a one-unit litigation shock.</w:t>
      </w:r>
    </w:p>
    <w:p>
      <w:pPr>
        <w:jc w:val="center"/>
      </w:pPr>
      <w:r>
        <w:drawing>
          <wp:inline xmlns:a="http://schemas.openxmlformats.org/drawingml/2006/main" xmlns:pic="http://schemas.openxmlformats.org/drawingml/2006/picture">
            <wp:extent cx="5029200" cy="5927271"/>
            <wp:docPr id="3" name="Picture 3"/>
            <wp:cNvGraphicFramePr>
              <a:graphicFrameLocks noChangeAspect="1"/>
            </wp:cNvGraphicFramePr>
            <a:graphic>
              <a:graphicData uri="http://schemas.openxmlformats.org/drawingml/2006/picture">
                <pic:pic>
                  <pic:nvPicPr>
                    <pic:cNvPr id="0" name="sfig1_irf_facilities.png"/>
                    <pic:cNvPicPr/>
                  </pic:nvPicPr>
                  <pic:blipFill>
                    <a:blip r:embed="rId11"/>
                    <a:stretch>
                      <a:fillRect/>
                    </a:stretch>
                  </pic:blipFill>
                  <pic:spPr>
                    <a:xfrm>
                      <a:off x="0" y="0"/>
                      <a:ext cx="5029200" cy="5927271"/>
                    </a:xfrm>
                    <a:prstGeom prst="rect"/>
                  </pic:spPr>
                </pic:pic>
              </a:graphicData>
            </a:graphic>
          </wp:inline>
        </w:drawing>
      </w:r>
    </w:p>
    <w:p/>
    <w:p>
      <w:r>
        <w:br w:type="page"/>
      </w:r>
    </w:p>
    <w:p>
      <w:pPr>
        <w:pStyle w:val="Heading2"/>
      </w:pPr>
      <w:r>
        <w:rPr>
          <w:rFonts w:ascii="Times New Roman" w:hAnsi="Times New Roman"/>
          <w:color w:val="000000"/>
        </w:rPr>
        <w:t>VAR-based forecasts</w:t>
      </w:r>
    </w:p>
    <w:p>
      <w:pPr>
        <w:spacing w:after="120" w:line="480" w:lineRule="auto"/>
      </w:pPr>
      <w:r>
        <w:rPr>
          <w:rFonts w:ascii="Times New Roman" w:hAnsi="Times New Roman"/>
          <w:b w:val="0"/>
          <w:i w:val="0"/>
          <w:sz w:val="24"/>
        </w:rPr>
        <w:t>Figure 4 presents VAR-based forecasts for physician and facility counts. General surgery is projected to continue declining (physicians: −230/year; facilities: −310/year through 2033). Obstetrics and gynaecology physician counts show modest growth while facilities decline. Table 3 summarises forecast values.</w:t>
      </w:r>
    </w:p>
    <w:p>
      <w:pPr>
        <w:spacing w:before="240" w:after="120" w:line="480" w:lineRule="auto"/>
      </w:pPr>
      <w:r>
        <w:rPr>
          <w:rFonts w:ascii="Times New Roman" w:hAnsi="Times New Roman"/>
          <w:b/>
          <w:sz w:val="20"/>
        </w:rPr>
        <w:t>Figure 4. VAR-based forecasts of physician and facility counts (2024–2033).</w:t>
      </w:r>
    </w:p>
    <w:p>
      <w:pPr>
        <w:jc w:val="center"/>
      </w:pPr>
      <w:r>
        <w:drawing>
          <wp:inline xmlns:a="http://schemas.openxmlformats.org/drawingml/2006/main" xmlns:pic="http://schemas.openxmlformats.org/drawingml/2006/picture">
            <wp:extent cx="5029200" cy="5925851"/>
            <wp:docPr id="4" name="Picture 4"/>
            <wp:cNvGraphicFramePr>
              <a:graphicFrameLocks noChangeAspect="1"/>
            </wp:cNvGraphicFramePr>
            <a:graphic>
              <a:graphicData uri="http://schemas.openxmlformats.org/drawingml/2006/picture">
                <pic:pic>
                  <pic:nvPicPr>
                    <pic:cNvPr id="0" name="fig3_var_forecasts.png"/>
                    <pic:cNvPicPr/>
                  </pic:nvPicPr>
                  <pic:blipFill>
                    <a:blip r:embed="rId12"/>
                    <a:stretch>
                      <a:fillRect/>
                    </a:stretch>
                  </pic:blipFill>
                  <pic:spPr>
                    <a:xfrm>
                      <a:off x="0" y="0"/>
                      <a:ext cx="5029200" cy="5925851"/>
                    </a:xfrm>
                    <a:prstGeom prst="rect"/>
                  </pic:spPr>
                </pic:pic>
              </a:graphicData>
            </a:graphic>
          </wp:inline>
        </w:drawing>
      </w:r>
    </w:p>
    <w:p/>
    <w:p>
      <w:pPr>
        <w:spacing w:after="120" w:before="240" w:line="480" w:lineRule="auto"/>
      </w:pPr>
      <w:r>
        <w:rPr>
          <w:rFonts w:ascii="Times New Roman" w:hAnsi="Times New Roman"/>
          <w:b/>
          <w:sz w:val="20"/>
        </w:rPr>
        <w:t>Table 3. VAR-based workforce forecasts for selected specialties.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Outcome</w:t>
            </w:r>
          </w:p>
        </w:tc>
        <w:tc>
          <w:tcPr>
            <w:tcW w:type="dxa" w:w="2340"/>
          </w:tcPr>
          <w:p>
            <w:pPr>
              <w:jc w:val="center"/>
            </w:pPr>
            <w:r/>
            <w:r>
              <w:rPr>
                <w:rFonts w:ascii="Times New Roman" w:hAnsi="Times New Roman"/>
                <w:b/>
                <w:sz w:val="18"/>
              </w:rPr>
              <w:t>2028 (forecast)</w:t>
            </w:r>
          </w:p>
        </w:tc>
        <w:tc>
          <w:tcPr>
            <w:tcW w:type="dxa" w:w="2340"/>
          </w:tcPr>
          <w:p>
            <w:pPr>
              <w:jc w:val="center"/>
            </w:pPr>
            <w:r/>
            <w:r>
              <w:rPr>
                <w:rFonts w:ascii="Times New Roman" w:hAnsi="Times New Roman"/>
                <w:b/>
                <w:sz w:val="18"/>
              </w:rPr>
              <w:t>2033 (forecast)</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14,495</w:t>
            </w:r>
          </w:p>
        </w:tc>
        <w:tc>
          <w:tcPr>
            <w:tcW w:type="dxa" w:w="2340"/>
          </w:tcPr>
          <w:p>
            <w:pPr>
              <w:jc w:val="center"/>
            </w:pPr>
            <w:r/>
            <w:r>
              <w:rPr>
                <w:rFonts w:ascii="Times New Roman" w:hAnsi="Times New Roman"/>
                <w:sz w:val="18"/>
              </w:rPr>
              <w:t>14,492</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14,046</w:t>
            </w:r>
          </w:p>
        </w:tc>
        <w:tc>
          <w:tcPr>
            <w:tcW w:type="dxa" w:w="2340"/>
          </w:tcPr>
          <w:p>
            <w:pPr>
              <w:jc w:val="center"/>
            </w:pPr>
            <w:r/>
            <w:r>
              <w:rPr>
                <w:rFonts w:ascii="Times New Roman" w:hAnsi="Times New Roman"/>
                <w:sz w:val="18"/>
              </w:rPr>
              <w:t>14,188</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12,584</w:t>
            </w:r>
          </w:p>
        </w:tc>
        <w:tc>
          <w:tcPr>
            <w:tcW w:type="dxa" w:w="2340"/>
          </w:tcPr>
          <w:p>
            <w:pPr>
              <w:jc w:val="center"/>
            </w:pPr>
            <w:r/>
            <w:r>
              <w:rPr>
                <w:rFonts w:ascii="Times New Roman" w:hAnsi="Times New Roman"/>
                <w:sz w:val="18"/>
              </w:rPr>
              <w:t>12,935</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5,264</w:t>
            </w:r>
          </w:p>
        </w:tc>
        <w:tc>
          <w:tcPr>
            <w:tcW w:type="dxa" w:w="2340"/>
          </w:tcPr>
          <w:p>
            <w:pPr>
              <w:jc w:val="center"/>
            </w:pPr>
            <w:r/>
            <w:r>
              <w:rPr>
                <w:rFonts w:ascii="Times New Roman" w:hAnsi="Times New Roman"/>
                <w:sz w:val="18"/>
              </w:rPr>
              <w:t>4,934</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64,552</w:t>
            </w:r>
          </w:p>
        </w:tc>
        <w:tc>
          <w:tcPr>
            <w:tcW w:type="dxa" w:w="2340"/>
          </w:tcPr>
          <w:p>
            <w:pPr>
              <w:jc w:val="center"/>
            </w:pPr>
            <w:r/>
            <w:r>
              <w:rPr>
                <w:rFonts w:ascii="Times New Roman" w:hAnsi="Times New Roman"/>
                <w:sz w:val="18"/>
              </w:rPr>
              <w:t>63,045</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65,750</w:t>
            </w:r>
          </w:p>
        </w:tc>
        <w:tc>
          <w:tcPr>
            <w:tcW w:type="dxa" w:w="2340"/>
          </w:tcPr>
          <w:p>
            <w:pPr>
              <w:jc w:val="center"/>
            </w:pPr>
            <w:r/>
            <w:r>
              <w:rPr>
                <w:rFonts w:ascii="Times New Roman" w:hAnsi="Times New Roman"/>
                <w:sz w:val="18"/>
              </w:rPr>
              <w:t>65,011</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19,945</w:t>
            </w:r>
          </w:p>
        </w:tc>
        <w:tc>
          <w:tcPr>
            <w:tcW w:type="dxa" w:w="2340"/>
          </w:tcPr>
          <w:p>
            <w:pPr>
              <w:jc w:val="center"/>
            </w:pPr>
            <w:r/>
            <w:r>
              <w:rPr>
                <w:rFonts w:ascii="Times New Roman" w:hAnsi="Times New Roman"/>
                <w:sz w:val="18"/>
              </w:rPr>
              <w:t>21,462</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19,396</w:t>
            </w:r>
          </w:p>
        </w:tc>
        <w:tc>
          <w:tcPr>
            <w:tcW w:type="dxa" w:w="2340"/>
          </w:tcPr>
          <w:p>
            <w:pPr>
              <w:jc w:val="center"/>
            </w:pPr>
            <w:r/>
            <w:r>
              <w:rPr>
                <w:rFonts w:ascii="Times New Roman" w:hAnsi="Times New Roman"/>
                <w:sz w:val="18"/>
              </w:rPr>
              <w:t>19,137</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23,069</w:t>
            </w:r>
          </w:p>
        </w:tc>
        <w:tc>
          <w:tcPr>
            <w:tcW w:type="dxa" w:w="2340"/>
          </w:tcPr>
          <w:p>
            <w:pPr>
              <w:jc w:val="center"/>
            </w:pPr>
            <w:r/>
            <w:r>
              <w:rPr>
                <w:rFonts w:ascii="Times New Roman" w:hAnsi="Times New Roman"/>
                <w:sz w:val="18"/>
              </w:rPr>
              <w:t>23,393</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15,693</w:t>
            </w:r>
          </w:p>
        </w:tc>
        <w:tc>
          <w:tcPr>
            <w:tcW w:type="dxa" w:w="2340"/>
          </w:tcPr>
          <w:p>
            <w:pPr>
              <w:jc w:val="center"/>
            </w:pPr>
            <w:r/>
            <w:r>
              <w:rPr>
                <w:rFonts w:ascii="Times New Roman" w:hAnsi="Times New Roman"/>
                <w:sz w:val="18"/>
              </w:rPr>
              <w:t>16,992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11,529</w:t>
            </w:r>
          </w:p>
        </w:tc>
        <w:tc>
          <w:tcPr>
            <w:tcW w:type="dxa" w:w="2340"/>
          </w:tcPr>
          <w:p>
            <w:pPr>
              <w:jc w:val="center"/>
            </w:pPr>
            <w:r/>
            <w:r>
              <w:rPr>
                <w:rFonts w:ascii="Times New Roman" w:hAnsi="Times New Roman"/>
                <w:sz w:val="18"/>
              </w:rPr>
              <w:t>12,380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3,656</w:t>
            </w:r>
          </w:p>
        </w:tc>
        <w:tc>
          <w:tcPr>
            <w:tcW w:type="dxa" w:w="2340"/>
          </w:tcPr>
          <w:p>
            <w:pPr>
              <w:jc w:val="center"/>
            </w:pPr>
            <w:r/>
            <w:r>
              <w:rPr>
                <w:rFonts w:ascii="Times New Roman" w:hAnsi="Times New Roman"/>
                <w:sz w:val="18"/>
              </w:rPr>
              <w:t>4,161</w:t>
            </w:r>
          </w:p>
        </w:tc>
      </w:tr>
    </w:tbl>
    <w:p/>
    <w:p>
      <w:pPr>
        <w:pStyle w:val="Heading2"/>
      </w:pPr>
      <w:r>
        <w:rPr>
          <w:rFonts w:ascii="Times New Roman" w:hAnsi="Times New Roman"/>
          <w:color w:val="000000"/>
        </w:rPr>
        <w:t>Trainee correlations</w:t>
      </w:r>
    </w:p>
    <w:p>
      <w:pPr>
        <w:spacing w:after="120" w:line="480" w:lineRule="auto"/>
      </w:pPr>
      <w:r>
        <w:rPr>
          <w:rFonts w:ascii="Times New Roman" w:hAnsi="Times New Roman"/>
          <w:b w:val="0"/>
          <w:i w:val="0"/>
          <w:sz w:val="24"/>
        </w:rPr>
        <w:t>Detrended correlations between JMSR incidents and specialist trainee enrolment (2018–2025, n = 8) showed notable negative associations for psychiatry (r = −0.77, P = 0.025), anaesthesiology (r = −0.77, P = 0.026), and obstetrics and gynaecology (r = −0.70, P = 0.051).</w:t>
      </w:r>
    </w:p>
    <w:p>
      <w:r>
        <w:br w:type="page"/>
      </w:r>
    </w:p>
    <w:p>
      <w:pPr>
        <w:pStyle w:val="Heading1"/>
      </w:pPr>
      <w:r>
        <w:rPr>
          <w:rFonts w:ascii="Times New Roman" w:hAnsi="Times New Roman"/>
          <w:color w:val="000000"/>
        </w:rPr>
        <w:t>Discussion</w:t>
      </w:r>
    </w:p>
    <w:p>
      <w:pPr>
        <w:spacing w:after="120" w:line="480" w:lineRule="auto"/>
      </w:pPr>
      <w:r>
        <w:rPr>
          <w:rFonts w:ascii="Times New Roman" w:hAnsi="Times New Roman"/>
          <w:b w:val="0"/>
          <w:i w:val="0"/>
          <w:sz w:val="24"/>
        </w:rPr>
        <w:t>Using the full 20-year litigation series, forward Granger causality reached significance in 18 of 24 models (9 of 12 specialties for both physician and facility counts); obstetrics and gynaecology showed the strongest association (F = 46.66, P &lt; 0.001). The 11-year JMSR series yielded only 2 significant models (general surgery and psychiatry). A sensitivity analysis restricting litigation data to the overlapping 2015–2023 window (9 years) reduced significant models from 18 to 4, indicating that the gap in significance counts largely reflects statistical power afforded by the longer series.</w:t>
      </w:r>
    </w:p>
    <w:p>
      <w:pPr>
        <w:spacing w:after="120" w:line="480" w:lineRule="auto"/>
      </w:pPr>
      <w:r>
        <w:rPr>
          <w:rFonts w:ascii="Times New Roman" w:hAnsi="Times New Roman"/>
          <w:b w:val="0"/>
          <w:i w:val="0"/>
          <w:sz w:val="24"/>
        </w:rPr>
        <w:t>Notably, JMSR incident counts and litigation counts were weakly correlated across the overlapping period (median |r| = 0.23; no specialty reached P &lt; 0.05). This independence implies that litigation captures a distinct dimension of professional risk—reputational exposure, financial liability, and prolonged procedural stress—that is not reducible to incident frequency. A trivariate VAR incorporating both sources simultaneously did not improve model fit over bivariate models (mean ΔAIC = +0.6), and an interaction term (occurrence × litigation) reached significance in only 1 of 22 models, consistent with additive rather than synergistic effects.</w:t>
      </w:r>
    </w:p>
    <w:p>
      <w:pPr>
        <w:pStyle w:val="Heading2"/>
      </w:pPr>
      <w:r>
        <w:rPr>
          <w:rFonts w:ascii="Times New Roman" w:hAnsi="Times New Roman"/>
          <w:color w:val="000000"/>
        </w:rPr>
        <w:t>Bidirectional causality</w:t>
      </w:r>
    </w:p>
    <w:p>
      <w:pPr>
        <w:spacing w:after="120" w:line="480" w:lineRule="auto"/>
      </w:pPr>
      <w:r>
        <w:rPr>
          <w:rFonts w:ascii="Times New Roman" w:hAnsi="Times New Roman"/>
          <w:b w:val="0"/>
          <w:i w:val="0"/>
          <w:sz w:val="24"/>
        </w:rPr>
        <w:t>Bidirectional Granger causality in 7 specialty–outcome pairs points to a reinforcing cycle. The forward pathway (incidents → workforce decline) is consistent with incident-avoidance behaviour: high-profile events deter specialty entry and hasten exit.</w:t>
      </w:r>
      <w:r>
        <w:rPr>
          <w:rFonts w:ascii="Times New Roman" w:hAnsi="Times New Roman"/>
          <w:b w:val="0"/>
          <w:i w:val="0"/>
          <w:sz w:val="20"/>
          <w:vertAlign w:val="superscript"/>
        </w:rPr>
        <w:t>1,9</w:t>
      </w:r>
      <w:r>
        <w:rPr>
          <w:rFonts w:ascii="Times New Roman" w:hAnsi="Times New Roman"/>
          <w:b w:val="0"/>
          <w:i w:val="0"/>
          <w:sz w:val="24"/>
        </w:rPr>
        <w:t xml:space="preserve"> The reverse pathway (workforce decline → incidents) accords with the overwork hypothesis—fewer physicians per caseload raises fatigue and incident risk.</w:t>
      </w:r>
      <w:r>
        <w:rPr>
          <w:rFonts w:ascii="Times New Roman" w:hAnsi="Times New Roman"/>
          <w:b w:val="0"/>
          <w:i w:val="0"/>
          <w:sz w:val="20"/>
          <w:vertAlign w:val="superscript"/>
        </w:rPr>
        <w:t>23</w:t>
      </w:r>
      <w:r>
        <w:rPr>
          <w:rFonts w:ascii="Times New Roman" w:hAnsi="Times New Roman"/>
          <w:b w:val="0"/>
          <w:i w:val="0"/>
          <w:sz w:val="24"/>
        </w:rPr>
        <w:t xml:space="preserve"> That both directions reach significance in obstetrics, paediatrics, and general surgery identifies these specialties as most susceptible to self-perpetuating decline.</w:t>
      </w:r>
    </w:p>
    <w:p>
      <w:pPr>
        <w:pStyle w:val="Heading2"/>
      </w:pPr>
      <w:r>
        <w:rPr>
          <w:rFonts w:ascii="Times New Roman" w:hAnsi="Times New Roman"/>
          <w:color w:val="000000"/>
        </w:rPr>
        <w:t>Work-style reform as a compounding factor</w:t>
      </w:r>
    </w:p>
    <w:p>
      <w:pPr>
        <w:spacing w:after="120" w:line="480" w:lineRule="auto"/>
      </w:pPr>
      <w:r>
        <w:rPr>
          <w:rFonts w:ascii="Times New Roman" w:hAnsi="Times New Roman"/>
          <w:b w:val="0"/>
          <w:i w:val="0"/>
          <w:sz w:val="24"/>
        </w:rPr>
        <w:t>These incident-driven dynamics operate within a labour market reshaped by the April 2024 work-style reform (960-hour annual overtime cap, A-level; 1,860-hour transitional B/C-level).</w:t>
      </w:r>
      <w:r>
        <w:rPr>
          <w:rFonts w:ascii="Times New Roman" w:hAnsi="Times New Roman"/>
          <w:b w:val="0"/>
          <w:i w:val="0"/>
          <w:sz w:val="20"/>
          <w:vertAlign w:val="superscript"/>
        </w:rPr>
        <w:t>5</w:t>
      </w:r>
      <w:r>
        <w:rPr>
          <w:rFonts w:ascii="Times New Roman" w:hAnsi="Times New Roman"/>
          <w:b w:val="0"/>
          <w:i w:val="0"/>
          <w:sz w:val="24"/>
        </w:rPr>
        <w:t xml:space="preserve"> Restrictions on "gaikin" have eroded the income supplement that historically offset demanding hospital posts, while deemed self-study—hours reclassified as voluntary training rather than compensable labour—has shifted workload onto mid-career physicians without relieving trainee burden.</w:t>
      </w:r>
      <w:r>
        <w:rPr>
          <w:rFonts w:ascii="Times New Roman" w:hAnsi="Times New Roman"/>
          <w:b w:val="0"/>
          <w:i w:val="0"/>
          <w:sz w:val="20"/>
          <w:vertAlign w:val="superscript"/>
        </w:rPr>
        <w:t>6</w:t>
      </w:r>
      <w:r>
        <w:rPr>
          <w:rFonts w:ascii="Times New Roman" w:hAnsi="Times New Roman"/>
          <w:b w:val="0"/>
          <w:i w:val="0"/>
          <w:sz w:val="24"/>
        </w:rPr>
        <w:t xml:space="preserve"> The 3–5 year incident-response horizon identified by our IRFs thus coincides with a period of contracting financial incentives for the very specialties most affected.</w:t>
      </w:r>
    </w:p>
    <w:p>
      <w:pPr>
        <w:pStyle w:val="Heading2"/>
      </w:pPr>
      <w:r>
        <w:rPr>
          <w:rFonts w:ascii="Times New Roman" w:hAnsi="Times New Roman"/>
          <w:color w:val="000000"/>
        </w:rPr>
        <w:t>Policy implications</w:t>
      </w:r>
    </w:p>
    <w:p>
      <w:pPr>
        <w:spacing w:after="120" w:line="480" w:lineRule="auto"/>
      </w:pPr>
      <w:r>
        <w:rPr>
          <w:rFonts w:ascii="Times New Roman" w:hAnsi="Times New Roman"/>
          <w:b w:val="0"/>
          <w:i w:val="0"/>
          <w:sz w:val="24"/>
        </w:rPr>
        <w:t>The independence of occurrence and litigation counts has a direct policy corollary: because safety events occur with a certain irreducible probability, the litigation pathway constitutes a modifiable mediator. If malpractice disputes are resolved before reaching court—through early mediation, alternative dispute resolution, or no-fault compensation—the workforce signal associated with litigation may be attenuated without requiring a reduction in incident rates themselves.</w:t>
      </w:r>
      <w:r>
        <w:rPr>
          <w:rFonts w:ascii="Times New Roman" w:hAnsi="Times New Roman"/>
          <w:b w:val="0"/>
          <w:i w:val="0"/>
          <w:sz w:val="20"/>
          <w:vertAlign w:val="superscript"/>
        </w:rPr>
        <w:t>7,24</w:t>
      </w:r>
    </w:p>
    <w:p>
      <w:pPr>
        <w:spacing w:after="120" w:line="480" w:lineRule="auto"/>
      </w:pPr>
      <w:r>
        <w:rPr>
          <w:rFonts w:ascii="Times New Roman" w:hAnsi="Times New Roman"/>
          <w:b w:val="0"/>
          <w:i w:val="0"/>
          <w:sz w:val="24"/>
        </w:rPr>
        <w:t>Beyond dispute resolution, several complementary levers emerge from our results. Economic incentives for high-risk specialties (enhanced remuneration, training stipends, rural service allowances) address the most proximate driver of specialty avoidance.</w:t>
      </w:r>
      <w:r>
        <w:rPr>
          <w:rFonts w:ascii="Times New Roman" w:hAnsi="Times New Roman"/>
          <w:b w:val="0"/>
          <w:i w:val="0"/>
          <w:sz w:val="20"/>
          <w:vertAlign w:val="superscript"/>
        </w:rPr>
        <w:t>24</w:t>
      </w:r>
      <w:r>
        <w:rPr>
          <w:rFonts w:ascii="Times New Roman" w:hAnsi="Times New Roman"/>
          <w:b w:val="0"/>
          <w:i w:val="0"/>
          <w:sz w:val="24"/>
        </w:rPr>
        <w:t xml:space="preserve"> Fostering a non-punitive safety culture—structured post-incident psychological support, transparent root-cause analysis, and proportionate media reporting—may attenuate the deterrent signal of adverse events.</w:t>
      </w:r>
      <w:r>
        <w:rPr>
          <w:rFonts w:ascii="Times New Roman" w:hAnsi="Times New Roman"/>
          <w:b w:val="0"/>
          <w:i w:val="0"/>
          <w:sz w:val="20"/>
          <w:vertAlign w:val="superscript"/>
        </w:rPr>
        <w:t>7</w:t>
      </w:r>
      <w:r>
        <w:rPr>
          <w:rFonts w:ascii="Times New Roman" w:hAnsi="Times New Roman"/>
          <w:b w:val="0"/>
          <w:i w:val="0"/>
          <w:sz w:val="24"/>
        </w:rPr>
        <w:t xml:space="preserve"> The reverse-causality pathway (fewer physicians → more incidents) implies that minimum staffing thresholds in specialties exhibiting bidirectional causality (obstetrics, paediatrics, general surgery) could interrupt the reinforcing cycle before it becomes self-sustaining. Effective implementation of work-style reform—including correction of deemed self-study practices and equitable redistribution of workload—is essential to prevent the reform itself from accelerating exit from demanding specialties.</w:t>
      </w:r>
    </w:p>
    <w:p>
      <w:pPr>
        <w:spacing w:after="120" w:line="480" w:lineRule="auto"/>
      </w:pPr>
      <w:r>
        <w:rPr>
          <w:rFonts w:ascii="Times New Roman" w:hAnsi="Times New Roman"/>
          <w:b w:val="0"/>
          <w:i w:val="0"/>
          <w:sz w:val="24"/>
        </w:rPr>
        <w:t>The 3–5 year effect duration estimated by our IRFs defines a critical monitoring window: targeted surveillance and support in the years following a major safety event may prevent transient workforce shocks from consolidating into permanent losses. The projected contraction in general surgery (−230 physicians/year; −310 facilities/year) underscores the urgency of deploying these measures concurrently rather than sequentially.</w:t>
      </w:r>
    </w:p>
    <w:p>
      <w:pPr>
        <w:pStyle w:val="Heading2"/>
      </w:pPr>
      <w:r>
        <w:rPr>
          <w:rFonts w:ascii="Times New Roman" w:hAnsi="Times New Roman"/>
          <w:color w:val="000000"/>
        </w:rPr>
        <w:t>Strengths and limitations</w:t>
      </w:r>
    </w:p>
    <w:p>
      <w:pPr>
        <w:spacing w:after="120" w:line="480" w:lineRule="auto"/>
      </w:pPr>
      <w:r>
        <w:rPr>
          <w:rFonts w:ascii="Times New Roman" w:hAnsi="Times New Roman"/>
          <w:b w:val="0"/>
          <w:i w:val="0"/>
          <w:sz w:val="24"/>
        </w:rPr>
        <w:t>Strengths of this study include population-level coverage from mandatory national registries across 12 specialties over up to 20 years, and a VAR/Granger framework suited to continuously varying exposures without requiring an assumed intervention point.</w:t>
      </w:r>
    </w:p>
    <w:p>
      <w:pPr>
        <w:spacing w:after="120" w:line="480" w:lineRule="auto"/>
      </w:pPr>
      <w:r>
        <w:rPr>
          <w:rFonts w:ascii="Times New Roman" w:hAnsi="Times New Roman"/>
          <w:b w:val="0"/>
          <w:i w:val="0"/>
          <w:sz w:val="24"/>
        </w:rPr>
        <w:t>Several limitations warrant consideration. The ecological design precludes individual-level causal inference. Biennial physician data required interpolation, potentially smoothing abrupt transitions. The JMSR series spans only 11 years, limiting statistical power; when litigation data were restricted to the same 2015–2023 window, significant models fell from 18 to 4, confirming that the disparity between data sources is primarily a function of series length rather than an intrinsic difference between occurrence and litigation as predictors. Unmeasured confounders—demographic shifts, the 2004 postgraduate training reform, and the direct effects of work-style reform (temporally overlapping the most recent observations)—may bias estimates. Notably, our 12-specialty framework does not capture career paths outside conventional specialty registration, such as aesthetic medicine</w:t>
      </w:r>
      <w:r>
        <w:rPr>
          <w:rFonts w:ascii="Times New Roman" w:hAnsi="Times New Roman"/>
          <w:b w:val="0"/>
          <w:i w:val="0"/>
          <w:sz w:val="20"/>
          <w:vertAlign w:val="superscript"/>
        </w:rPr>
        <w:t>25,26</w:t>
      </w:r>
      <w:r>
        <w:rPr>
          <w:rFonts w:ascii="Times New Roman" w:hAnsi="Times New Roman"/>
          <w:b w:val="0"/>
          <w:i w:val="0"/>
          <w:sz w:val="24"/>
        </w:rPr>
        <w:t xml:space="preserve"> and occupational medicine.</w:t>
      </w:r>
      <w:r>
        <w:rPr>
          <w:rFonts w:ascii="Times New Roman" w:hAnsi="Times New Roman"/>
          <w:b w:val="0"/>
          <w:i w:val="0"/>
          <w:sz w:val="20"/>
          <w:vertAlign w:val="superscript"/>
        </w:rPr>
        <w:t>27,28</w:t>
      </w:r>
      <w:r>
        <w:rPr>
          <w:rFonts w:ascii="Times New Roman" w:hAnsi="Times New Roman"/>
          <w:b w:val="0"/>
          <w:i w:val="0"/>
          <w:sz w:val="24"/>
        </w:rPr>
        <w:t xml:space="preserve"> To the extent that migration into these sectors correlates temporally with incident trends, our models may overestimate the incident-attributable component of workforce decline. Low retention among occupational physicians (55–65% turnover within 2 years)</w:t>
      </w:r>
      <w:r>
        <w:rPr>
          <w:rFonts w:ascii="Times New Roman" w:hAnsi="Times New Roman"/>
          <w:b w:val="0"/>
          <w:i w:val="0"/>
          <w:sz w:val="20"/>
          <w:vertAlign w:val="superscript"/>
        </w:rPr>
        <w:t>28</w:t>
      </w:r>
      <w:r>
        <w:rPr>
          <w:rFonts w:ascii="Times New Roman" w:hAnsi="Times New Roman"/>
          <w:b w:val="0"/>
          <w:i w:val="0"/>
          <w:sz w:val="24"/>
        </w:rPr>
        <w:t xml:space="preserve"> further complicates workforce projections.</w:t>
      </w:r>
    </w:p>
    <w:p>
      <w:pPr>
        <w:pStyle w:val="Heading2"/>
      </w:pPr>
      <w:r>
        <w:rPr>
          <w:rFonts w:ascii="Times New Roman" w:hAnsi="Times New Roman"/>
          <w:color w:val="000000"/>
        </w:rPr>
        <w:t>Conclusions</w:t>
      </w:r>
    </w:p>
    <w:p>
      <w:pPr>
        <w:spacing w:after="120" w:line="480" w:lineRule="auto"/>
      </w:pPr>
      <w:r>
        <w:rPr>
          <w:rFonts w:ascii="Times New Roman" w:hAnsi="Times New Roman"/>
          <w:b w:val="0"/>
          <w:i w:val="0"/>
          <w:sz w:val="24"/>
        </w:rPr>
        <w:t>Safety incidents Granger-cause reductions in physician supply in 9 of 12 specialties, with effects persisting 3–5 years. Bidirectional causality in obstetrics, paediatrics, and general surgery points to a self-reinforcing shortage–incident cycle. Disrupting this cycle will require concurrent action on multiple fronts—economic incentives, non-punitive safety culture, minimum staffing safeguards, and effective work-style reform—within the 3–5 year policy window identified here.</w:t>
      </w:r>
    </w:p>
    <w:p>
      <w:r>
        <w:br w:type="page"/>
      </w:r>
    </w:p>
    <w:p>
      <w:pPr>
        <w:pStyle w:val="Heading2"/>
      </w:pPr>
      <w:r>
        <w:rPr>
          <w:rFonts w:ascii="Times New Roman" w:hAnsi="Times New Roman"/>
          <w:color w:val="000000"/>
        </w:rPr>
        <w:t>Conflict of Interest</w:t>
      </w:r>
    </w:p>
    <w:p>
      <w:pPr>
        <w:spacing w:after="120" w:line="480" w:lineRule="auto"/>
      </w:pPr>
      <w:r>
        <w:rPr>
          <w:rFonts w:ascii="Times New Roman" w:hAnsi="Times New Roman"/>
          <w:b w:val="0"/>
          <w:i w:val="0"/>
          <w:sz w:val="24"/>
        </w:rPr>
        <w:t>The author declares no conflict of interest.</w:t>
      </w:r>
    </w:p>
    <w:p>
      <w:pPr>
        <w:pStyle w:val="Heading2"/>
      </w:pPr>
      <w:r>
        <w:rPr>
          <w:rFonts w:ascii="Times New Roman" w:hAnsi="Times New Roman"/>
          <w:color w:val="000000"/>
        </w:rPr>
        <w:t>Funding</w:t>
      </w:r>
    </w:p>
    <w:p>
      <w:pPr>
        <w:spacing w:after="120" w:line="480" w:lineRule="auto"/>
      </w:pPr>
      <w:r>
        <w:rPr>
          <w:rFonts w:ascii="Times New Roman" w:hAnsi="Times New Roman"/>
          <w:b w:val="0"/>
          <w:i w:val="0"/>
          <w:sz w:val="24"/>
        </w:rPr>
        <w:t>None.</w:t>
      </w:r>
    </w:p>
    <w:p>
      <w:pPr>
        <w:pStyle w:val="Heading2"/>
      </w:pPr>
      <w:r>
        <w:rPr>
          <w:rFonts w:ascii="Times New Roman" w:hAnsi="Times New Roman"/>
          <w:color w:val="000000"/>
        </w:rPr>
        <w:t>Author Contributions</w:t>
      </w:r>
    </w:p>
    <w:p>
      <w:pPr>
        <w:spacing w:after="120" w:line="480" w:lineRule="auto"/>
      </w:pPr>
      <w:r>
        <w:rPr>
          <w:rFonts w:ascii="Times New Roman" w:hAnsi="Times New Roman"/>
          <w:b w:val="0"/>
          <w:i w:val="0"/>
          <w:sz w:val="24"/>
        </w:rPr>
        <w:t>TO conceived the study, acquired data, performed statistical analyses, and drafted the manuscript.</w:t>
      </w:r>
    </w:p>
    <w:p>
      <w:pPr>
        <w:pStyle w:val="Heading2"/>
      </w:pPr>
      <w:r>
        <w:rPr>
          <w:rFonts w:ascii="Times New Roman" w:hAnsi="Times New Roman"/>
          <w:color w:val="000000"/>
        </w:rPr>
        <w:t>Data Availability</w:t>
      </w:r>
    </w:p>
    <w:p>
      <w:pPr>
        <w:spacing w:after="120" w:line="480" w:lineRule="auto"/>
      </w:pPr>
      <w:r>
        <w:rPr>
          <w:rFonts w:ascii="Times New Roman" w:hAnsi="Times New Roman"/>
          <w:b w:val="0"/>
          <w:i w:val="0"/>
          <w:sz w:val="24"/>
        </w:rPr>
        <w:t>Analysis code and aggregated datasets are available at https://github.com/bougtoir/medical-accident-its-analysis. Original data sources are publicly available from the Japan Medical Safety Research Organisation, the Supreme Court of Japan, and the Ministry of Health, Labour and Welfare.</w:t>
      </w:r>
    </w:p>
    <w:p>
      <w:pPr>
        <w:pStyle w:val="Heading2"/>
      </w:pPr>
      <w:r>
        <w:rPr>
          <w:rFonts w:ascii="Times New Roman" w:hAnsi="Times New Roman"/>
          <w:color w:val="000000"/>
        </w:rPr>
        <w:t>Acknowledgements</w:t>
      </w:r>
    </w:p>
    <w:p>
      <w:pPr>
        <w:spacing w:after="120" w:line="480" w:lineRule="auto"/>
      </w:pPr>
      <w:r>
        <w:rPr>
          <w:rFonts w:ascii="Times New Roman" w:hAnsi="Times New Roman"/>
          <w:b w:val="0"/>
          <w:i w:val="0"/>
          <w:sz w:val="24"/>
        </w:rPr>
        <w:t>AI-assisted tools were used for coding assistance and manuscript drafting. The author takes full responsibility for the content and integrity of the work.</w:t>
      </w:r>
    </w:p>
    <w:p>
      <w:r>
        <w:br w:type="page"/>
      </w:r>
    </w:p>
    <w:p>
      <w:pPr>
        <w:pStyle w:val="Heading1"/>
      </w:pPr>
      <w:r>
        <w:rPr>
          <w:rFonts w:ascii="Times New Roman" w:hAnsi="Times New Roman"/>
          <w:color w:val="000000"/>
        </w:rPr>
        <w:t>References</w:t>
      </w:r>
    </w:p>
    <w:p>
      <w:pPr>
        <w:spacing w:line="480" w:lineRule="auto" w:after="40"/>
      </w:pPr>
      <w:r>
        <w:rPr>
          <w:rFonts w:ascii="Times New Roman" w:hAnsi="Times New Roman"/>
          <w:sz w:val="20"/>
        </w:rPr>
        <w:t>1. Ikegami N, Yoo BK, Hashimoto H, et al. Japanese universal health coverage: evolution, achievements, and challenges. Lancet. 2011;378(9796):1106-15.</w:t>
      </w:r>
    </w:p>
    <w:p>
      <w:pPr>
        <w:spacing w:line="480" w:lineRule="auto" w:after="40"/>
      </w:pPr>
      <w:r>
        <w:rPr>
          <w:rFonts w:ascii="Times New Roman" w:hAnsi="Times New Roman"/>
          <w:sz w:val="20"/>
        </w:rPr>
        <w:t>2. Toyabe S. Trend in geographic distribution of physicians in Japan. Int J Equity Health. 2009;8:5.</w:t>
      </w:r>
    </w:p>
    <w:p>
      <w:pPr>
        <w:spacing w:line="480" w:lineRule="auto" w:after="40"/>
      </w:pPr>
      <w:r>
        <w:rPr>
          <w:rFonts w:ascii="Times New Roman" w:hAnsi="Times New Roman"/>
          <w:sz w:val="20"/>
        </w:rPr>
        <w:t>3. Ministry of Health, Labour and Welfare. Survey of physicians, dentists, and pharmacists 2022. Tokyo: MHLW; 2023. Japanese.</w:t>
      </w:r>
    </w:p>
    <w:p>
      <w:pPr>
        <w:spacing w:line="480" w:lineRule="auto" w:after="40"/>
      </w:pPr>
      <w:r>
        <w:rPr>
          <w:rFonts w:ascii="Times New Roman" w:hAnsi="Times New Roman"/>
          <w:sz w:val="20"/>
        </w:rPr>
        <w:t>4. Tanaka K, Katsumata Y, Matsuda S. Supply, demand and distribution of physicians in Japan. Keio J Med. 2024;doi:10.46308/kmj.2024.00087.</w:t>
      </w:r>
    </w:p>
    <w:p>
      <w:pPr>
        <w:spacing w:line="480" w:lineRule="auto" w:after="40"/>
      </w:pPr>
      <w:r>
        <w:rPr>
          <w:rFonts w:ascii="Times New Roman" w:hAnsi="Times New Roman"/>
          <w:sz w:val="20"/>
        </w:rPr>
        <w:t>5. Ishikawa T, Ohba H, Yokooka Y, et al. Labor shortage of physicians in rural areas and surgical specialties caused by Work Style Reform Policies of the Japanese government: a quantitative simulation analysis. J Rural Med. 2024;19(3):198-207.</w:t>
      </w:r>
    </w:p>
    <w:p>
      <w:pPr>
        <w:spacing w:line="480" w:lineRule="auto" w:after="40"/>
      </w:pPr>
      <w:r>
        <w:rPr>
          <w:rFonts w:ascii="Times New Roman" w:hAnsi="Times New Roman"/>
          <w:sz w:val="20"/>
        </w:rPr>
        <w:t>6. Japan Medical Association. Survey on physician work-style reform implementation status. Tokyo: JMA; 2024. Japanese.</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2009;22(2):199-206.</w:t>
      </w:r>
    </w:p>
    <w:p>
      <w:pPr>
        <w:spacing w:line="480" w:lineRule="auto" w:after="40"/>
      </w:pPr>
      <w:r>
        <w:rPr>
          <w:rFonts w:ascii="Times New Roman" w:hAnsi="Times New Roman"/>
          <w:sz w:val="20"/>
        </w:rPr>
        <w:t>8. Hiyama T, Yoshihara M, Tanaka S, et al. Defensive medicine practices among gastroenterologists in Japan. World J Gastroenterol. 2006;12(47):7671-5.</w:t>
      </w:r>
    </w:p>
    <w:p>
      <w:pPr>
        <w:spacing w:line="480" w:lineRule="auto" w:after="40"/>
      </w:pPr>
      <w:r>
        <w:rPr>
          <w:rFonts w:ascii="Times New Roman" w:hAnsi="Times New Roman"/>
          <w:sz w:val="20"/>
        </w:rPr>
        <w:t>9. Morita H. Criminal prosecution and physician supply. Int Rev Law Econ. 2018;55:1-11.</w:t>
      </w:r>
    </w:p>
    <w:p>
      <w:pPr>
        <w:spacing w:line="480" w:lineRule="auto" w:after="40"/>
      </w:pPr>
      <w:r>
        <w:rPr>
          <w:rFonts w:ascii="Times New Roman" w:hAnsi="Times New Roman"/>
          <w:sz w:val="20"/>
        </w:rPr>
        <w:t>10. Japan Medical Safety Research Organisation. Annual report on medical accident investigation. Tokyo: JMSR; 2025. Available from: https://www.medsafe.or.jp/</w:t>
      </w:r>
    </w:p>
    <w:p>
      <w:pPr>
        <w:spacing w:line="480" w:lineRule="auto" w:after="40"/>
      </w:pPr>
      <w:r>
        <w:rPr>
          <w:rFonts w:ascii="Times New Roman" w:hAnsi="Times New Roman"/>
          <w:sz w:val="20"/>
        </w:rPr>
        <w:t>11. Supreme Court of Japan. Annual report of judicial statistics: medical malpractice litigation. Tokyo: Supreme Court; 2024. Japanese.</w:t>
      </w:r>
    </w:p>
    <w:p>
      <w:pPr>
        <w:spacing w:line="480" w:lineRule="auto" w:after="40"/>
      </w:pPr>
      <w:r>
        <w:rPr>
          <w:rFonts w:ascii="Times New Roman" w:hAnsi="Times New Roman"/>
          <w:sz w:val="20"/>
        </w:rPr>
        <w:t>12. Taniguchi K, Watari T, Nagoshi K. Characteristics and trends of medical malpractice claims in Japan between 2006 and 2021. PLoS One. 2024;19(1):e0296155.</w:t>
      </w:r>
    </w:p>
    <w:p>
      <w:pPr>
        <w:spacing w:line="480" w:lineRule="auto" w:after="40"/>
      </w:pPr>
      <w:r>
        <w:rPr>
          <w:rFonts w:ascii="Times New Roman" w:hAnsi="Times New Roman"/>
          <w:sz w:val="20"/>
        </w:rPr>
        <w:t>13. Granger CWJ. Investigating causal relations by econometric models and cross-spectral methods. Econometrica. 1969;37(3):424-38.</w:t>
      </w:r>
    </w:p>
    <w:p>
      <w:pPr>
        <w:spacing w:line="480" w:lineRule="auto" w:after="40"/>
      </w:pPr>
      <w:r>
        <w:rPr>
          <w:rFonts w:ascii="Times New Roman" w:hAnsi="Times New Roman"/>
          <w:sz w:val="20"/>
        </w:rPr>
        <w:t>14. Lütkepohl H. New Introduction to Multiple Time Series Analysis. Berlin: Springer; 2005.</w:t>
      </w:r>
    </w:p>
    <w:p>
      <w:pPr>
        <w:spacing w:line="480" w:lineRule="auto" w:after="40"/>
      </w:pPr>
      <w:r>
        <w:rPr>
          <w:rFonts w:ascii="Times New Roman" w:hAnsi="Times New Roman"/>
          <w:sz w:val="20"/>
        </w:rPr>
        <w:t>15. Toda HY, Yamamoto T. Statistical inference in vector autoregressions with possibly integrated processes. J Econom. 1995;66(1-2):225-50.</w:t>
      </w:r>
    </w:p>
    <w:p>
      <w:pPr>
        <w:spacing w:line="480" w:lineRule="auto" w:after="40"/>
      </w:pPr>
      <w:r>
        <w:rPr>
          <w:rFonts w:ascii="Times New Roman" w:hAnsi="Times New Roman"/>
          <w:sz w:val="20"/>
        </w:rPr>
        <w:t>16. von Elm E, Altman DG, Egger M, et al. The Strengthening the Reporting of Observational Studies in Epidemiology (STROBE) statement: guidelines for reporting observational studies. Lancet. 2007;370(9596):1453-7.</w:t>
      </w:r>
    </w:p>
    <w:p>
      <w:pPr>
        <w:spacing w:line="480" w:lineRule="auto" w:after="40"/>
      </w:pPr>
      <w:r>
        <w:rPr>
          <w:rFonts w:ascii="Times New Roman" w:hAnsi="Times New Roman"/>
          <w:sz w:val="20"/>
        </w:rPr>
        <w:t>17. Ministry of Health, Labour and Welfare. Survey of physicians, dentists, and pharmacists. Tokyo: MHLW; 2024. Japanese.</w:t>
      </w:r>
    </w:p>
    <w:p>
      <w:pPr>
        <w:spacing w:line="480" w:lineRule="auto" w:after="40"/>
      </w:pPr>
      <w:r>
        <w:rPr>
          <w:rFonts w:ascii="Times New Roman" w:hAnsi="Times New Roman"/>
          <w:sz w:val="20"/>
        </w:rPr>
        <w:t>18. Ministry of Health, Labour and Welfare. Survey of medical institutions (dynamic survey). Tokyo: MHLW; 2024. Japanese.</w:t>
      </w:r>
    </w:p>
    <w:p>
      <w:pPr>
        <w:spacing w:line="480" w:lineRule="auto" w:after="40"/>
      </w:pPr>
      <w:r>
        <w:rPr>
          <w:rFonts w:ascii="Times New Roman" w:hAnsi="Times New Roman"/>
          <w:sz w:val="20"/>
        </w:rPr>
        <w:t>19. Japan Board of Medical Specialties. Specialist trainee registration statistics. Tokyo: JBMS; 2025. Japanese.</w:t>
      </w:r>
    </w:p>
    <w:p>
      <w:pPr>
        <w:spacing w:line="480" w:lineRule="auto" w:after="40"/>
      </w:pPr>
      <w:r>
        <w:rPr>
          <w:rFonts w:ascii="Times New Roman" w:hAnsi="Times New Roman"/>
          <w:sz w:val="20"/>
        </w:rPr>
        <w:t>20. Hamilton JD. Time Series Analysis. Princeton: Princeton University Press; 1994.</w:t>
      </w:r>
    </w:p>
    <w:p>
      <w:pPr>
        <w:spacing w:line="480" w:lineRule="auto" w:after="40"/>
      </w:pPr>
      <w:r>
        <w:rPr>
          <w:rFonts w:ascii="Times New Roman" w:hAnsi="Times New Roman"/>
          <w:sz w:val="20"/>
        </w:rPr>
        <w:t>21. Sims CA. Macroeconomics and reality. Econometrica. 1980;48(1):1-48.</w:t>
      </w:r>
    </w:p>
    <w:p>
      <w:pPr>
        <w:spacing w:line="480" w:lineRule="auto" w:after="40"/>
      </w:pPr>
      <w:r>
        <w:rPr>
          <w:rFonts w:ascii="Times New Roman" w:hAnsi="Times New Roman"/>
          <w:sz w:val="20"/>
        </w:rPr>
        <w:t>22. Seabold S, Perktold J. Statsmodels: econometric and statistical modeling with Python. Proc 9th Python Sci Conf. 2010:92-6.</w:t>
      </w:r>
    </w:p>
    <w:p>
      <w:pPr>
        <w:spacing w:line="480" w:lineRule="auto" w:after="40"/>
      </w:pPr>
      <w:r>
        <w:rPr>
          <w:rFonts w:ascii="Times New Roman" w:hAnsi="Times New Roman"/>
          <w:sz w:val="20"/>
        </w:rPr>
        <w:t>23. Studdert DM, Mello MM, Sage WM, et al. Defensive medicine among high-risk specialist physicians in a volatile malpractice environment. JAMA. 2005;293(21):2609-17.</w:t>
      </w:r>
    </w:p>
    <w:p>
      <w:pPr>
        <w:spacing w:line="480" w:lineRule="auto" w:after="40"/>
      </w:pPr>
      <w:r>
        <w:rPr>
          <w:rFonts w:ascii="Times New Roman" w:hAnsi="Times New Roman"/>
          <w:sz w:val="20"/>
        </w:rPr>
        <w:t>24. Currie J, MacLeod WB. First do no harm? Tort reform and birth outcomes. Q J Econ. 2008;123(2):795-830.</w:t>
      </w:r>
    </w:p>
    <w:p>
      <w:pPr>
        <w:spacing w:line="480" w:lineRule="auto" w:after="40"/>
      </w:pPr>
      <w:r>
        <w:rPr>
          <w:rFonts w:ascii="Times New Roman" w:hAnsi="Times New Roman"/>
          <w:sz w:val="20"/>
        </w:rPr>
        <w:t>25. Takei T. The ‘Chokubi’ phenomenon: young physicians’ exodus from state service to private medicine in Japan. QJM. 2024;117(12):843-5.</w:t>
      </w:r>
    </w:p>
    <w:p>
      <w:pPr>
        <w:spacing w:line="480" w:lineRule="auto" w:after="40"/>
      </w:pPr>
      <w:r>
        <w:rPr>
          <w:rFonts w:ascii="Times New Roman" w:hAnsi="Times New Roman"/>
          <w:sz w:val="20"/>
        </w:rPr>
        <w:t>26. Ministry of Health, Labour and Welfare. Survey of medical institutions 2023: aesthetic surgery clinics. Tokyo: MHLW; 2024. Japanese.</w:t>
      </w:r>
    </w:p>
    <w:p>
      <w:pPr>
        <w:spacing w:line="480" w:lineRule="auto" w:after="40"/>
      </w:pPr>
      <w:r>
        <w:rPr>
          <w:rFonts w:ascii="Times New Roman" w:hAnsi="Times New Roman"/>
          <w:sz w:val="20"/>
        </w:rPr>
        <w:t>27. Koike S, Isse T, Kawaguchi H, et al. Retention among full-time occupational physicians in Japan. Occup Med (Lond). 2019;69(2):139-42.</w:t>
      </w:r>
    </w:p>
    <w:p>
      <w:pPr>
        <w:spacing w:line="480" w:lineRule="auto" w:after="40"/>
      </w:pPr>
      <w:r>
        <w:rPr>
          <w:rFonts w:ascii="Times New Roman" w:hAnsi="Times New Roman"/>
          <w:sz w:val="20"/>
        </w:rPr>
        <w:t>28. Isse T, Nakamura H, Hachisuka K. Turnover of full-time occupational physicians in Japan in the period 2002–2008. Sangyo Eiseigaku Zasshi. 2012;54(5):174-83. Japanese.</w:t>
      </w:r>
    </w:p>
    <w:p>
      <w:r>
        <w:br w:type="page"/>
      </w:r>
    </w:p>
    <w:p>
      <w:pPr>
        <w:pStyle w:val="Heading1"/>
      </w:pPr>
      <w:r>
        <w:rPr>
          <w:rFonts w:ascii="Times New Roman" w:hAnsi="Times New Roman"/>
          <w:color w:val="000000"/>
        </w:rPr>
        <w:t>Figure Legends</w:t>
      </w:r>
    </w:p>
    <w:p>
      <w:pPr>
        <w:spacing w:line="480" w:lineRule="auto" w:after="240"/>
      </w:pPr>
      <w:r>
        <w:rPr>
          <w:rFonts w:ascii="Times New Roman" w:hAnsi="Times New Roman"/>
          <w:b/>
          <w:sz w:val="22"/>
        </w:rPr>
        <w:t xml:space="preserve">Figure 1. </w:t>
      </w:r>
      <w:r>
        <w:rPr>
          <w:rFonts w:ascii="Times New Roman" w:hAnsi="Times New Roman"/>
          <w:sz w:val="22"/>
        </w:rPr>
        <w:t>Trends in medical safety incident counts by specialty. Panel A: JMSR mandatory reports (2015–2025). Panel B: Medical malpractice litigation closed claims (2004–2023).</w:t>
      </w:r>
    </w:p>
    <w:p>
      <w:pPr>
        <w:spacing w:line="480" w:lineRule="auto" w:after="240"/>
      </w:pPr>
      <w:r>
        <w:rPr>
          <w:rFonts w:ascii="Times New Roman" w:hAnsi="Times New Roman"/>
          <w:b/>
          <w:sz w:val="22"/>
        </w:rPr>
        <w:t xml:space="preserve">Figure 2. </w:t>
      </w:r>
      <w:r>
        <w:rPr>
          <w:rFonts w:ascii="Times New Roman" w:hAnsi="Times New Roman"/>
          <w:sz w:val="22"/>
        </w:rPr>
        <w:t>Impulse response functions: response of physician counts to a one-unit shock in litigation cases for six specialties. Shaded areas represent approximate 95% confidence bands.</w:t>
      </w:r>
    </w:p>
    <w:p>
      <w:pPr>
        <w:spacing w:line="480" w:lineRule="auto" w:after="240"/>
      </w:pPr>
      <w:r>
        <w:rPr>
          <w:rFonts w:ascii="Times New Roman" w:hAnsi="Times New Roman"/>
          <w:b/>
          <w:sz w:val="22"/>
        </w:rPr>
        <w:t xml:space="preserve">Figure 3. </w:t>
      </w:r>
      <w:r>
        <w:rPr>
          <w:rFonts w:ascii="Times New Roman" w:hAnsi="Times New Roman"/>
          <w:sz w:val="22"/>
        </w:rPr>
        <w:t>Impulse response functions: response of facility counts to a one-unit shock in litigation cases for six specialties.</w:t>
      </w:r>
    </w:p>
    <w:p>
      <w:pPr>
        <w:spacing w:line="480" w:lineRule="auto" w:after="240"/>
      </w:pPr>
      <w:r>
        <w:rPr>
          <w:rFonts w:ascii="Times New Roman" w:hAnsi="Times New Roman"/>
          <w:b/>
          <w:sz w:val="22"/>
        </w:rPr>
        <w:t xml:space="preserve">Figure 4. </w:t>
      </w:r>
      <w:r>
        <w:rPr>
          <w:rFonts w:ascii="Times New Roman" w:hAnsi="Times New Roman"/>
          <w:sz w:val="22"/>
        </w:rPr>
        <w:t>VAR-based forecasts of physician and facility counts for general surgery, obstetrics and gynaecology, and internal medicine (2024–2033). Circles: observed data; dashed line: forecast; shaded area: 95% forecast interval.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