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(add-0.5)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abroad author-years accumulated by origin and destination civilisation. Destination is approximated by the author’s recent_group for all years in which they are abroad; this is a lower-bound approximation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1640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64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abroad stock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capping dropout at 1.5 times its 90th percentile in the training window;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1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76.13%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29.90</w:t>
            </w:r>
          </w:p>
        </w:tc>
        <w:tc>
          <w:tcPr>
            <w:tcW w:type="dxa" w:w="2880"/>
          </w:tcPr>
          <w:p>
            <w:r>
              <w:t>134.87%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49.35</w:t>
            </w:r>
          </w:p>
        </w:tc>
        <w:tc>
          <w:tcPr>
            <w:tcW w:type="dxa" w:w="2880"/>
          </w:tcPr>
          <w:p>
            <w:r>
              <w:t>134.90%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47.47</w:t>
            </w:r>
          </w:p>
        </w:tc>
        <w:tc>
          <w:tcPr>
            <w:tcW w:type="dxa" w:w="2880"/>
          </w:tcPr>
          <w:p>
            <w:r>
              <w:t>305.04%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15.79</w:t>
            </w:r>
          </w:p>
        </w:tc>
        <w:tc>
          <w:tcPr>
            <w:tcW w:type="dxa" w:w="2880"/>
          </w:tcPr>
          <w:p>
            <w:r>
              <w:t>66.04%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24.85</w:t>
            </w:r>
          </w:p>
        </w:tc>
        <w:tc>
          <w:tcPr>
            <w:tcW w:type="dxa" w:w="2880"/>
          </w:tcPr>
          <w:p>
            <w:r>
              <w:t>122.96%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11.31</w:t>
            </w:r>
          </w:p>
        </w:tc>
        <w:tc>
          <w:tcPr>
            <w:tcW w:type="dxa" w:w="2880"/>
          </w:tcPr>
          <w:p>
            <w:r>
              <w:t>197.81%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23.92</w:t>
            </w:r>
          </w:p>
        </w:tc>
        <w:tc>
          <w:tcPr>
            <w:tcW w:type="dxa" w:w="2880"/>
          </w:tcPr>
          <w:p>
            <w:r>
              <w:t>71.44%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26.55</w:t>
            </w:r>
          </w:p>
        </w:tc>
        <w:tc>
          <w:tcPr>
            <w:tcW w:type="dxa" w:w="2880"/>
          </w:tcPr>
          <w:p>
            <w:r>
              <w:t>126.62%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5.78</w:t>
            </w:r>
          </w:p>
        </w:tc>
        <w:tc>
          <w:tcPr>
            <w:tcW w:type="dxa" w:w="2880"/>
          </w:tcPr>
          <w:p>
            <w:r>
              <w:t>250.02%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52.46</w:t>
            </w:r>
          </w:p>
        </w:tc>
        <w:tc>
          <w:tcPr>
            <w:tcW w:type="dxa" w:w="2880"/>
          </w:tcPr>
          <w:p>
            <w:r>
              <w:t>298.21%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3.43</w:t>
            </w:r>
          </w:p>
        </w:tc>
        <w:tc>
          <w:tcPr>
            <w:tcW w:type="dxa" w:w="2880"/>
          </w:tcPr>
          <w:p>
            <w:r>
              <w:t>87.58%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28.90</w:t>
            </w:r>
          </w:p>
        </w:tc>
        <w:tc>
          <w:tcPr>
            <w:tcW w:type="dxa" w:w="2880"/>
          </w:tcPr>
          <w:p>
            <w:r>
              <w:t>140.47%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13.35</w:t>
            </w:r>
          </w:p>
        </w:tc>
        <w:tc>
          <w:tcPr>
            <w:tcW w:type="dxa" w:w="2880"/>
          </w:tcPr>
          <w:p>
            <w:r>
              <w:t>25.87%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38.12</w:t>
            </w:r>
          </w:p>
        </w:tc>
        <w:tc>
          <w:tcPr>
            <w:tcW w:type="dxa" w:w="2880"/>
          </w:tcPr>
          <w:p>
            <w:r>
              <w:t>21.73%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29.62, MAPE = 137.31%.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