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360" w:lineRule="auto"/>
      </w:pPr>
      <w:r>
        <w:rPr>
          <w:rFonts w:ascii="Times New Roman" w:hAnsi="Times New Roman" w:eastAsia="MS Mincho"/>
          <w:b/>
          <w:i w:val="0"/>
          <w:sz w:val="32"/>
        </w:rPr>
        <w:t>What the Solow Residual Has Been Hiding: Tempo Drift and the Missing Intangible Share in National Capital Stocks</w:t>
      </w:r>
    </w:p>
    <w:p>
      <w:pPr>
        <w:spacing w:after="120" w:line="360" w:lineRule="auto"/>
        <w:ind w:firstLine="480"/>
      </w:pPr>
      <w:r>
        <w:rPr>
          <w:rFonts w:ascii="Times New Roman" w:hAnsi="Times New Roman" w:eastAsia="MS Mincho"/>
          <w:b/>
          <w:i w:val="0"/>
          <w:sz w:val="24"/>
        </w:rPr>
        <w:t>Onishi Tatsuki</w:t>
      </w:r>
    </w:p>
    <w:p>
      <w:pPr>
        <w:spacing w:after="120" w:line="360" w:lineRule="auto"/>
        <w:ind w:firstLine="480"/>
      </w:pPr>
      <w:r>
        <w:rPr>
          <w:rFonts w:ascii="Times New Roman" w:hAnsi="Times New Roman" w:eastAsia="MS Mincho"/>
          <w:b w:val="0"/>
          <w:i w:val="0"/>
          <w:sz w:val="24"/>
        </w:rPr>
        <w:t>Data Science and AI Innovation Research Promotion Center, Shiga University</w:t>
      </w:r>
    </w:p>
    <w:p>
      <w:pPr>
        <w:spacing w:after="120" w:line="360" w:lineRule="auto"/>
        <w:ind w:firstLine="480"/>
      </w:pPr>
      <w:r>
        <w:rPr>
          <w:rFonts w:ascii="Times New Roman" w:hAnsi="Times New Roman" w:eastAsia="MS Mincho"/>
          <w:b w:val="0"/>
          <w:i w:val="0"/>
          <w:sz w:val="24"/>
        </w:rPr>
        <w:t>1-1-1, Bamba, Hikone, Shiga, 522-8522 Japan, Telephone: +81-749-27-1023, E-mail: bougtoir@gmail.com, ORCID: 0000-0001-7261-9062</w:t>
      </w:r>
    </w:p>
    <w:p>
      <w:pPr>
        <w:spacing w:after="120" w:line="360" w:lineRule="auto"/>
        <w:ind w:firstLine="480"/>
      </w:pPr>
      <w:r>
        <w:rPr>
          <w:rFonts w:ascii="Times New Roman" w:hAnsi="Times New Roman" w:eastAsia="MS Mincho"/>
          <w:b/>
          <w:i w:val="0"/>
          <w:sz w:val="24"/>
        </w:rPr>
        <w:t>Statements and Declarations</w:t>
      </w:r>
    </w:p>
    <w:p>
      <w:pPr>
        <w:spacing w:after="120" w:line="360" w:lineRule="auto"/>
        <w:ind w:firstLine="480"/>
      </w:pPr>
      <w:r>
        <w:rPr>
          <w:rFonts w:ascii="Times New Roman" w:hAnsi="Times New Roman" w:eastAsia="MS Mincho"/>
          <w:b w:val="0"/>
          <w:i/>
          <w:sz w:val="24"/>
        </w:rPr>
        <w:t>Competing interests.</w:t>
      </w:r>
      <w:r>
        <w:rPr>
          <w:rFonts w:ascii="Times New Roman" w:hAnsi="Times New Roman" w:eastAsia="MS Mincho"/>
          <w:b w:val="0"/>
          <w:i w:val="0"/>
          <w:sz w:val="24"/>
        </w:rPr>
        <w:t xml:space="preserve"> The author declares no competing interests.</w:t>
      </w:r>
    </w:p>
    <w:p>
      <w:pPr>
        <w:spacing w:after="120" w:line="360" w:lineRule="auto"/>
        <w:ind w:firstLine="480"/>
      </w:pPr>
      <w:r>
        <w:rPr>
          <w:rFonts w:ascii="Times New Roman" w:hAnsi="Times New Roman" w:eastAsia="MS Mincho"/>
          <w:b w:val="0"/>
          <w:i/>
          <w:sz w:val="24"/>
        </w:rPr>
        <w:t>Consent to participate.</w:t>
      </w:r>
      <w:r>
        <w:rPr>
          <w:rFonts w:ascii="Times New Roman" w:hAnsi="Times New Roman" w:eastAsia="MS Mincho"/>
          <w:b w:val="0"/>
          <w:i w:val="0"/>
          <w:sz w:val="24"/>
        </w:rPr>
        <w:t xml:space="preserve"> Not applicable.</w:t>
      </w:r>
    </w:p>
    <w:p>
      <w:pPr>
        <w:spacing w:after="120" w:line="360" w:lineRule="auto"/>
        <w:ind w:firstLine="480"/>
      </w:pPr>
      <w:r>
        <w:rPr>
          <w:rFonts w:ascii="Times New Roman" w:hAnsi="Times New Roman" w:eastAsia="MS Mincho"/>
          <w:b w:val="0"/>
          <w:i/>
          <w:sz w:val="24"/>
        </w:rPr>
        <w:t>Consent to publish.</w:t>
      </w:r>
      <w:r>
        <w:rPr>
          <w:rFonts w:ascii="Times New Roman" w:hAnsi="Times New Roman" w:eastAsia="MS Mincho"/>
          <w:b w:val="0"/>
          <w:i w:val="0"/>
          <w:sz w:val="24"/>
        </w:rPr>
        <w:t xml:space="preserve"> Not applicable.</w:t>
      </w:r>
    </w:p>
    <w:p>
      <w:pPr>
        <w:spacing w:after="120" w:line="360" w:lineRule="auto"/>
        <w:ind w:firstLine="480"/>
      </w:pPr>
      <w:r>
        <w:rPr>
          <w:rFonts w:ascii="Times New Roman" w:hAnsi="Times New Roman" w:eastAsia="MS Mincho"/>
          <w:b w:val="0"/>
          <w:i/>
          <w:sz w:val="24"/>
        </w:rPr>
        <w:t>Data and code availability.</w:t>
      </w:r>
      <w:r>
        <w:rPr>
          <w:rFonts w:ascii="Times New Roman" w:hAnsi="Times New Roman" w:eastAsia="MS Mincho"/>
          <w:b w:val="0"/>
          <w:i w:val="0"/>
          <w:sz w:val="24"/>
        </w:rPr>
        <w:t xml:space="preserve">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w:t>
      </w:r>
    </w:p>
    <w:p>
      <w:pPr>
        <w:spacing w:after="120" w:line="360" w:lineRule="auto"/>
        <w:ind w:firstLine="480"/>
      </w:pPr>
      <w:r>
        <w:rPr>
          <w:rFonts w:ascii="Times New Roman" w:hAnsi="Times New Roman" w:eastAsia="MS Mincho"/>
          <w:b w:val="0"/>
          <w:i/>
          <w:sz w:val="24"/>
        </w:rPr>
        <w:t>Declaration of generative AI use.</w:t>
      </w:r>
      <w:r>
        <w:rPr>
          <w:rFonts w:ascii="Times New Roman" w:hAnsi="Times New Roman" w:eastAsia="MS Mincho"/>
          <w:b w:val="0"/>
          <w:i w:val="0"/>
          <w:sz w:val="24"/>
        </w:rPr>
        <w:t xml:space="preserve"> The author used generative AI to assist with formatting the text, choosing words that suited the tone, and writing analysis code. The author reviewed and edited the content as needed and takes full responsibility for the content of the published article.</w:t>
      </w:r>
    </w:p>
    <w:p>
      <w:pPr>
        <w:spacing w:after="120" w:line="360" w:lineRule="auto"/>
        <w:ind w:firstLine="480"/>
      </w:pPr>
      <w:r>
        <w:rPr>
          <w:rFonts w:ascii="Times New Roman" w:hAnsi="Times New Roman" w:eastAsia="MS Mincho"/>
          <w:b w:val="0"/>
          <w:i/>
          <w:sz w:val="24"/>
        </w:rPr>
        <w:t>Ethics approval.</w:t>
      </w:r>
      <w:r>
        <w:rPr>
          <w:rFonts w:ascii="Times New Roman" w:hAnsi="Times New Roman" w:eastAsia="MS Mincho"/>
          <w:b w:val="0"/>
          <w:i w:val="0"/>
          <w:sz w:val="24"/>
        </w:rPr>
        <w:t xml:space="preserve"> This research uses publicly available, aggregate macroeconomic data (Penn World Table 10.01, World Bank CWON, World Bank WDI, OECD GFCF). No human subjects, animals, or personally identifiable data were involved. Ethical approval was therefore not required.</w:t>
      </w:r>
    </w:p>
    <w:p>
      <w:pPr>
        <w:spacing w:after="120" w:line="360" w:lineRule="auto"/>
        <w:ind w:firstLine="480"/>
      </w:pPr>
      <w:r>
        <w:rPr>
          <w:rFonts w:ascii="Times New Roman" w:hAnsi="Times New Roman" w:eastAsia="MS Mincho"/>
          <w:b w:val="0"/>
          <w:i/>
          <w:sz w:val="24"/>
        </w:rPr>
        <w:t>Funding.</w:t>
      </w:r>
      <w:r>
        <w:rPr>
          <w:rFonts w:ascii="Times New Roman" w:hAnsi="Times New Roman" w:eastAsia="MS Mincho"/>
          <w:b w:val="0"/>
          <w:i w:val="0"/>
          <w:sz w:val="24"/>
        </w:rPr>
        <w:t xml:space="preserve"> No external funding was received for this research.</w:t>
      </w:r>
    </w:p>
    <w:p>
      <w:r>
        <w:br w:type="page"/>
      </w:r>
    </w:p>
    <w:p>
      <w:pPr>
        <w:spacing w:before="360" w:after="120" w:line="360" w:lineRule="auto"/>
      </w:pPr>
      <w:r>
        <w:rPr>
          <w:rFonts w:ascii="Times New Roman" w:hAnsi="Times New Roman" w:eastAsia="MS Mincho"/>
          <w:b/>
          <w:i w:val="0"/>
          <w:sz w:val="32"/>
        </w:rPr>
        <w:t>What the Solow Residual Has Been Hiding: Tempo Drift and the Missing Intangible Share in National Capital Stocks</w:t>
      </w:r>
    </w:p>
    <w:p>
      <w:pPr>
        <w:spacing w:after="120" w:line="360" w:lineRule="auto"/>
        <w:ind w:firstLine="480"/>
      </w:pPr>
      <w:r>
        <w:rPr>
          <w:rFonts w:ascii="Times New Roman" w:hAnsi="Times New Roman" w:eastAsia="MS Mincho"/>
          <w:b/>
          <w:i w:val="0"/>
          <w:sz w:val="24"/>
        </w:rPr>
        <w:t>Abstract.</w:t>
      </w:r>
      <w:r>
        <w:rPr>
          <w:rFonts w:ascii="Times New Roman" w:hAnsi="Times New Roman" w:eastAsia="MS Mincho"/>
          <w:b w:val="0"/>
          <w:i w:val="0"/>
          <w:sz w:val="24"/>
        </w:rPr>
        <w:t xml:space="preserve"> A measurable share of what conventional growth accounting calls total factor productivity (TFP) is a book-keeping artefact: it reflects a drifting time-to-build parameter </w:t>
      </w:r>
      <w:r>
        <w:rPr>
          <w:rFonts w:ascii="Times New Roman" w:hAnsi="Times New Roman" w:eastAsia="MS Mincho"/>
          <w:b w:val="0"/>
          <w:i/>
          <w:sz w:val="24"/>
        </w:rPr>
        <w:t>μ</w:t>
      </w:r>
      <w:r>
        <w:rPr>
          <w:rFonts w:ascii="Times New Roman" w:hAnsi="Times New Roman" w:eastAsia="MS Mincho"/>
          <w:b w:val="0"/>
          <w:i w:val="0"/>
          <w:sz w:val="24"/>
        </w:rPr>
        <w:t xml:space="preserve">(t) and an omitted intangible-capital share </w:t>
      </w:r>
      <w:r>
        <w:rPr>
          <w:rFonts w:ascii="Times New Roman" w:hAnsi="Times New Roman" w:eastAsia="MS Mincho"/>
          <w:b w:val="0"/>
          <w:i/>
          <w:sz w:val="24"/>
        </w:rPr>
        <w:t>β</w:t>
      </w:r>
      <w:r>
        <w:rPr>
          <w:rFonts w:ascii="Times New Roman" w:hAnsi="Times New Roman" w:eastAsia="MS Mincho"/>
          <w:b w:val="0"/>
          <w:i w:val="0"/>
          <w:sz w:val="24"/>
        </w:rPr>
        <w:t xml:space="preserve"> that official statistics set to zero. Across 35 OECD and middle-income economies (Penn World Table 10.01, World Bank CWON, 1950–2019), an observable, parameter-free tempo proxy M</w:t>
      </w:r>
      <w:r>
        <w:rPr>
          <w:rFonts w:ascii="Times New Roman" w:hAnsi="Times New Roman" w:eastAsia="MS Mincho"/>
          <w:b w:val="0"/>
          <w:i/>
          <w:sz w:val="24"/>
          <w:vertAlign w:val="subscript"/>
        </w:rPr>
        <w:t>o</w:t>
      </w:r>
      <w:r>
        <w:rPr>
          <w:rFonts w:ascii="Times New Roman" w:hAnsi="Times New Roman" w:eastAsia="MS Mincho"/>
          <w:b w:val="0"/>
          <w:i w:val="0"/>
          <w:sz w:val="24"/>
        </w:rPr>
        <w:t>bs — constructed from OECD GFCF asset composition without free parameters — shows that accounting for investment gestation lags changes measured capital by a median 4.3 % (range 0.6–9.2 %), shifts measured TFP by 1.7 percentage points, and shifts implied labour shares by 1.7 percentage points. These measurement consequences are largest in economies whose investment mix has shifted most toward long-gestation assets: Ireland (−9.2 %), Republic of Korea (−7.1 %), Israel (−6.4 %). A Solow-residual decomposition shows that up to 30 % of TFP-growth variance is attributable to tempo drift alone. Counterfactual wealth calculations indicate that official produced-capital figures understate intangible-adjusted wealth by 0.3–1.1 % for high-R&amp;D economies. The joint corrections reconcile production-side (flow) and wealth-side (stock) national accounts to within 1–2 % for most countries.</w:t>
      </w:r>
    </w:p>
    <w:p>
      <w:pPr>
        <w:spacing w:after="120" w:line="360" w:lineRule="auto"/>
        <w:ind w:firstLine="480"/>
      </w:pPr>
      <w:r>
        <w:rPr>
          <w:rFonts w:ascii="Times New Roman" w:hAnsi="Times New Roman" w:eastAsia="MS Mincho"/>
          <w:b/>
          <w:i w:val="0"/>
          <w:sz w:val="24"/>
        </w:rPr>
        <w:t>Keywords</w:t>
      </w:r>
      <w:r>
        <w:rPr>
          <w:rFonts w:ascii="Times New Roman" w:hAnsi="Times New Roman" w:eastAsia="MS Mincho"/>
          <w:b w:val="0"/>
          <w:i w:val="0"/>
          <w:sz w:val="24"/>
        </w:rPr>
        <w:t>: Solow residual; time-to-build; intangible capital; growth accounting; national wealth.</w:t>
      </w:r>
    </w:p>
    <w:p>
      <w:pPr>
        <w:spacing w:after="120" w:line="360" w:lineRule="auto"/>
        <w:ind w:firstLine="480"/>
      </w:pPr>
      <w:r>
        <w:rPr>
          <w:rFonts w:ascii="Times New Roman" w:hAnsi="Times New Roman" w:eastAsia="MS Mincho"/>
          <w:b/>
          <w:i w:val="0"/>
          <w:sz w:val="24"/>
        </w:rPr>
        <w:t>JEL codes</w:t>
      </w:r>
      <w:r>
        <w:rPr>
          <w:rFonts w:ascii="Times New Roman" w:hAnsi="Times New Roman" w:eastAsia="MS Mincho"/>
          <w:b w:val="0"/>
          <w:i w:val="0"/>
          <w:sz w:val="24"/>
        </w:rPr>
        <w:t>: E01, E22, O47.</w:t>
      </w:r>
    </w:p>
    <w:p>
      <w:pPr>
        <w:spacing w:after="120" w:line="360" w:lineRule="auto"/>
        <w:ind w:firstLine="480"/>
      </w:pPr>
      <w:r>
        <w:rPr>
          <w:rFonts w:ascii="Times New Roman" w:hAnsi="Times New Roman" w:eastAsia="MS Mincho"/>
          <w:b/>
          <w:i w:val="0"/>
          <w:sz w:val="24"/>
        </w:rPr>
        <w:t>Highlights</w:t>
      </w:r>
      <w:r>
        <w:rPr>
          <w:rFonts w:ascii="Times New Roman" w:hAnsi="Times New Roman" w:eastAsia="MS Mincho"/>
          <w:b w:val="0"/>
          <w:i w:val="0"/>
          <w:sz w:val="24"/>
        </w:rPr>
        <w:t>:</w:t>
      </w:r>
    </w:p>
    <w:p>
      <w:pPr>
        <w:spacing w:after="120" w:line="360" w:lineRule="auto"/>
        <w:ind w:left="720" w:hanging="360"/>
      </w:pPr>
      <w:r>
        <w:rPr>
          <w:rFonts w:ascii="Times New Roman" w:hAnsi="Times New Roman" w:eastAsia="MS Mincho"/>
          <w:b w:val="0"/>
          <w:i w:val="0"/>
          <w:sz w:val="24"/>
        </w:rPr>
        <w:t>•  Observable investment-composition shifts change measured capital stock by a median 4.3 %</w:t>
      </w:r>
    </w:p>
    <w:p>
      <w:pPr>
        <w:spacing w:after="120" w:line="360" w:lineRule="auto"/>
        <w:ind w:left="720" w:hanging="360"/>
      </w:pPr>
      <w:r>
        <w:rPr>
          <w:rFonts w:ascii="Times New Roman" w:hAnsi="Times New Roman" w:eastAsia="MS Mincho"/>
          <w:b w:val="0"/>
          <w:i w:val="0"/>
          <w:sz w:val="24"/>
        </w:rPr>
        <w:t>•  TFP shifts by 1.7 pp and implied labour share by 1.7 pp when capital is tempo-corrected</w:t>
      </w:r>
    </w:p>
    <w:p>
      <w:pPr>
        <w:spacing w:after="120" w:line="360" w:lineRule="auto"/>
        <w:ind w:left="720" w:hanging="360"/>
      </w:pPr>
      <w:r>
        <w:rPr>
          <w:rFonts w:ascii="Times New Roman" w:hAnsi="Times New Roman" w:eastAsia="MS Mincho"/>
          <w:b w:val="0"/>
          <w:i w:val="0"/>
          <w:sz w:val="24"/>
        </w:rPr>
        <w:t>•  Parameter-free M</w:t>
      </w:r>
      <w:r>
        <w:rPr>
          <w:rFonts w:ascii="Times New Roman" w:hAnsi="Times New Roman" w:eastAsia="MS Mincho"/>
          <w:b w:val="0"/>
          <w:i/>
          <w:sz w:val="24"/>
          <w:vertAlign w:val="subscript"/>
        </w:rPr>
        <w:t>o</w:t>
      </w:r>
      <w:r>
        <w:rPr>
          <w:rFonts w:ascii="Times New Roman" w:hAnsi="Times New Roman" w:eastAsia="MS Mincho"/>
          <w:b w:val="0"/>
          <w:i w:val="0"/>
          <w:sz w:val="24"/>
        </w:rPr>
        <w:t>bs proxy confirms findings without statistical fitting</w:t>
      </w:r>
    </w:p>
    <w:p>
      <w:pPr>
        <w:spacing w:after="120" w:line="360" w:lineRule="auto"/>
        <w:ind w:left="720" w:hanging="360"/>
      </w:pPr>
      <w:r>
        <w:rPr>
          <w:rFonts w:ascii="Times New Roman" w:hAnsi="Times New Roman" w:eastAsia="MS Mincho"/>
          <w:b w:val="0"/>
          <w:i w:val="0"/>
          <w:sz w:val="24"/>
        </w:rPr>
        <w:t>•  Flow and stock national accounts reconcile to 1–2 % after correction</w:t>
      </w:r>
    </w:p>
    <w:p>
      <w:pPr>
        <w:spacing w:after="120" w:line="360" w:lineRule="auto"/>
        <w:ind w:left="720" w:hanging="360"/>
      </w:pPr>
      <w:r>
        <w:rPr>
          <w:rFonts w:ascii="Times New Roman" w:hAnsi="Times New Roman" w:eastAsia="MS Mincho"/>
          <w:b w:val="0"/>
          <w:i w:val="0"/>
          <w:sz w:val="24"/>
        </w:rPr>
        <w:t>•  Official wealth understates intangible capital by 0.3–1.1 % in R&amp;D economies</w:t>
      </w:r>
    </w:p>
    <w:p>
      <w:pPr>
        <w:spacing w:before="360" w:after="120" w:line="360" w:lineRule="auto"/>
      </w:pPr>
      <w:r>
        <w:rPr>
          <w:rFonts w:ascii="Times New Roman" w:hAnsi="Times New Roman" w:eastAsia="MS Mincho"/>
          <w:b/>
          <w:i w:val="0"/>
          <w:sz w:val="28"/>
        </w:rPr>
        <w:t>1 Introduction</w:t>
      </w:r>
    </w:p>
    <w:p>
      <w:pPr>
        <w:spacing w:after="120" w:line="360" w:lineRule="auto"/>
        <w:ind w:firstLine="480"/>
      </w:pPr>
      <w:r>
        <w:rPr>
          <w:rFonts w:ascii="Times New Roman" w:hAnsi="Times New Roman" w:eastAsia="MS Mincho"/>
          <w:b w:val="0"/>
          <w:i w:val="0"/>
          <w:sz w:val="24"/>
        </w:rPr>
        <w:t>Growth accounting since Solow (1957) has relied on a residual — total factor productivity (TFP) — as the catch-all for output variation that measured inputs fail to explain. Half a century of refinements — sector-specific capital, human capital, utilisation adjustments — has shrunk this residual somewhat, yet it still absorbs a substantial, poorly understood component of macroeconomic fluctuations. For policymakers calibrating fiscal multipliers, central banks assessing potential output, and statistical agencies constructing national accounts, the Solow residual is simultaneously indispensable and opaque: indispensable because every macroeconomic forecast embeds it, opaque because no one knows how much of it is genuine innovation and how much is measurement error.</w:t>
      </w:r>
    </w:p>
    <w:p>
      <w:pPr>
        <w:spacing w:after="120" w:line="360" w:lineRule="auto"/>
        <w:ind w:firstLine="480"/>
      </w:pPr>
      <w:r>
        <w:rPr>
          <w:rFonts w:ascii="Times New Roman" w:hAnsi="Times New Roman" w:eastAsia="MS Mincho"/>
          <w:b w:val="0"/>
          <w:i w:val="0"/>
          <w:sz w:val="24"/>
        </w:rPr>
        <w:t xml:space="preserve">This paper identifies a specific, quantifiable source of that measurement error. Two parameters that conventional growth accounting imposes at zero — the time-varying investment-to-output lag </w:t>
      </w:r>
      <w:r>
        <w:rPr>
          <w:rFonts w:ascii="Times New Roman" w:hAnsi="Times New Roman" w:eastAsia="MS Mincho"/>
          <w:b w:val="0"/>
          <w:i/>
          <w:sz w:val="24"/>
        </w:rPr>
        <w:t>μ</w:t>
      </w:r>
      <w:r>
        <w:rPr>
          <w:rFonts w:ascii="Times New Roman" w:hAnsi="Times New Roman" w:eastAsia="MS Mincho"/>
          <w:b w:val="0"/>
          <w:i w:val="0"/>
          <w:sz w:val="24"/>
        </w:rPr>
        <w:t xml:space="preserve">(t) and 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 jointly account for a measurable share of what has been labelled TFP. The core insight is novel: while time-to-build has been studied since Kydland and Prescott (1982), all prior work treats the lag as fixed across decades. Yet the composition of investment has shifted decisively toward long-lead assets — custom software, cloud infrastructure, pharmaceutical R&amp;D, and complex engineering systems — whose gestation periods differ by nearly an order of magnitude from the plant-and-equipment on which the original lag literature was calibrated (OECD, 2013; Corrado et al., 2020). A time-to-build that was appropriate in 1970 systematically mis-times the capital stock in 2019. If </w:t>
      </w:r>
      <w:r>
        <w:rPr>
          <w:rFonts w:ascii="Times New Roman" w:hAnsi="Times New Roman" w:eastAsia="MS Mincho"/>
          <w:b w:val="0"/>
          <w:i/>
          <w:sz w:val="24"/>
        </w:rPr>
        <w:t>μ</w:t>
      </w:r>
      <w:r>
        <w:rPr>
          <w:rFonts w:ascii="Times New Roman" w:hAnsi="Times New Roman" w:eastAsia="MS Mincho"/>
          <w:b w:val="0"/>
          <w:i w:val="0"/>
          <w:sz w:val="24"/>
        </w:rPr>
        <w:t xml:space="preserve"> has been rising but is treated as zero, the perpetual inventory method (PIM) capital stock is mis-timed and the Solow residual absorbs the error. The second parameter, </w:t>
      </w:r>
      <w:r>
        <w:rPr>
          <w:rFonts w:ascii="Times New Roman" w:hAnsi="Times New Roman" w:eastAsia="MS Mincho"/>
          <w:b w:val="0"/>
          <w:i/>
          <w:sz w:val="24"/>
        </w:rPr>
        <w:t>β</w:t>
      </w:r>
      <w:r>
        <w:rPr>
          <w:rFonts w:ascii="Times New Roman" w:hAnsi="Times New Roman" w:eastAsia="MS Mincho"/>
          <w:b w:val="0"/>
          <w:i w:val="0"/>
          <w:sz w:val="24"/>
        </w:rPr>
        <w:t xml:space="preserve">, captures intangible capital that Corrado, Hulten, and Sichel (2005, 2009) have shown is quantitatively large yet that official wealth accounts — including the World Bank Changing Wealth of Nations (CWON; Lange, Wodon, and Carey, 2018) — still exclude from produced capital. When </w:t>
      </w:r>
      <w:r>
        <w:rPr>
          <w:rFonts w:ascii="Times New Roman" w:hAnsi="Times New Roman" w:eastAsia="MS Mincho"/>
          <w:b w:val="0"/>
          <w:i/>
          <w:sz w:val="24"/>
        </w:rPr>
        <w:t>β</w:t>
      </w:r>
      <w:r>
        <w:rPr>
          <w:rFonts w:ascii="Times New Roman" w:hAnsi="Times New Roman" w:eastAsia="MS Mincho"/>
          <w:b w:val="0"/>
          <w:i w:val="0"/>
          <w:sz w:val="24"/>
        </w:rPr>
        <w:t xml:space="preserve"> is forced to zero, the missing capital again inflates TFP.</w:t>
      </w:r>
    </w:p>
    <w:p>
      <w:pPr>
        <w:spacing w:after="120" w:line="360" w:lineRule="auto"/>
        <w:ind w:firstLine="480"/>
      </w:pPr>
      <w:r>
        <w:rPr>
          <w:rFonts w:ascii="Times New Roman" w:hAnsi="Times New Roman" w:eastAsia="MS Mincho"/>
          <w:b w:val="0"/>
          <w:i w:val="0"/>
          <w:sz w:val="24"/>
        </w:rPr>
        <w:t xml:space="preserve">The identification strategy exploits a structural analogy with population statistics. Bongaarts and Feeney (1998) showed that a drifting mean age at childbearing depresses measured period fertility even when completed fertility is constant; Goldstein, Lutz, and Scherbov (2003) showed that adding a single "forgotten" parity-specific variance parameter resolves the discrepancy. Under a precise change of variables, the same mathematics applies to capital accounting (Table 1): investment plays the role of births, the PIM capital stock plays the role of the population stock, </w:t>
      </w:r>
      <w:r>
        <w:rPr>
          <w:rFonts w:ascii="Times New Roman" w:hAnsi="Times New Roman" w:eastAsia="MS Mincho"/>
          <w:b w:val="0"/>
          <w:i/>
          <w:sz w:val="24"/>
        </w:rPr>
        <w:t>μ</w:t>
      </w:r>
      <w:r>
        <w:rPr>
          <w:rFonts w:ascii="Times New Roman" w:hAnsi="Times New Roman" w:eastAsia="MS Mincho"/>
          <w:b w:val="0"/>
          <w:i w:val="0"/>
          <w:sz w:val="24"/>
        </w:rPr>
        <w:t xml:space="preserve">(t) is the analogue of the mean age at childbearing, and </w:t>
      </w:r>
      <w:r>
        <w:rPr>
          <w:rFonts w:ascii="Times New Roman" w:hAnsi="Times New Roman" w:eastAsia="MS Mincho"/>
          <w:b w:val="0"/>
          <w:i/>
          <w:sz w:val="24"/>
        </w:rPr>
        <w:t>β</w:t>
      </w:r>
      <w:r>
        <w:rPr>
          <w:rFonts w:ascii="Times New Roman" w:hAnsi="Times New Roman" w:eastAsia="MS Mincho"/>
          <w:b w:val="0"/>
          <w:i w:val="0"/>
          <w:sz w:val="24"/>
        </w:rPr>
        <w:t xml:space="preserve"> is the analogue of the forgotten variance. The tempo adjustment was itself a neglected insight within demography for decades — dormant from the 1970s until Bongaarts and Feeney revived it in 1998, with a further five years before Goldstein, Lutz, and Scherbov supplied the missing variance parameter. If a timing correction that had been under demographers' noses for a generation proved transformative once rediscovered, it would be surprising if the identical correction — applied for the first time to the vastly larger domain of capital accounting and GDP measurement — carried no new empirical content.</w:t>
      </w:r>
    </w:p>
    <w:p>
      <w:pPr>
        <w:spacing w:after="120" w:line="360" w:lineRule="auto"/>
        <w:ind w:firstLine="480"/>
      </w:pPr>
      <w:r>
        <w:rPr>
          <w:rFonts w:ascii="Times New Roman" w:hAnsi="Times New Roman" w:eastAsia="MS Mincho"/>
          <w:b w:val="0"/>
          <w:i w:val="0"/>
          <w:sz w:val="24"/>
        </w:rPr>
        <w:t>The macroeconomic stakes are concrete. An observable, parameter-free proxy M</w:t>
      </w:r>
      <w:r>
        <w:rPr>
          <w:rFonts w:ascii="Times New Roman" w:hAnsi="Times New Roman" w:eastAsia="MS Mincho"/>
          <w:b w:val="0"/>
          <w:i/>
          <w:sz w:val="24"/>
          <w:vertAlign w:val="subscript"/>
        </w:rPr>
        <w:t>o</w:t>
      </w:r>
      <w:r>
        <w:rPr>
          <w:rFonts w:ascii="Times New Roman" w:hAnsi="Times New Roman" w:eastAsia="MS Mincho"/>
          <w:b w:val="0"/>
          <w:i w:val="0"/>
          <w:sz w:val="24"/>
        </w:rPr>
        <w:t>bs — constructed from OECD GFCF asset composition (OECD, 2013) by weighting asset-specific gestation lags by their investment shares — shows that the tempo correction changes measured capital stocks by a median 4.3 % across 35 OECD and middle-income economies (Penn World Table 10.01, World Bank CWON, 1950–2019). This is not a forecasting result: it is a measurement consequence. When the capital stock changes, everything built on it changes: TFP shifts by a median 1.7 percentage points and the implied labour share shifts by 1.7 percentage points. The effects are largest in economies whose investment mix has shifted most toward long-gestation assets — Ireland (−9.2 %), Republic of Korea (−7.1 %), Israel (−6.4 %) — and smallest where the asset mix has been stable. A Solow-residual decomposition reveals that tempo drift alone accounts for up to 30 % of TFP-growth variance in some countries — variance that has been misread as innovation shocks in DSGE models calibrated to the conventional residual (Smets and Wouters, 2007). Counterfactual wealth calculations show that official produced-capital figures understate intangible-adjusted wealth by 0.3–1.1 % in high-R&amp;D economies. The joint corrections reconcile production-side (flow) and wealth-side (stock) national accounts to within 1–2 % for most countries.</w:t>
      </w:r>
    </w:p>
    <w:p>
      <w:pPr>
        <w:spacing w:after="120" w:line="360" w:lineRule="auto"/>
        <w:ind w:firstLine="480"/>
      </w:pPr>
      <w:r>
        <w:rPr>
          <w:rFonts w:ascii="Times New Roman" w:hAnsi="Times New Roman" w:eastAsia="MS Mincho"/>
          <w:b w:val="0"/>
          <w:i w:val="0"/>
          <w:sz w:val="24"/>
        </w:rPr>
        <w:t xml:space="preserve">Three implications for macroeconomic analysis follow directly. First, potential-output estimates that feed into fiscal-policy rules and output-gap calculations inherit the tempo bias: if capital is systematically mis-timed, the output gap is mis-measured, and the fiscal stance calibrated to it is correspondingly distorted. Second, the time-varying lag </w:t>
      </w:r>
      <w:r>
        <w:rPr>
          <w:rFonts w:ascii="Times New Roman" w:hAnsi="Times New Roman" w:eastAsia="MS Mincho"/>
          <w:b w:val="0"/>
          <w:i/>
          <w:sz w:val="24"/>
        </w:rPr>
        <w:t>μ</w:t>
      </w:r>
      <w:r>
        <w:rPr>
          <w:rFonts w:ascii="Times New Roman" w:hAnsi="Times New Roman" w:eastAsia="MS Mincho"/>
          <w:b w:val="0"/>
          <w:i w:val="0"/>
          <w:sz w:val="24"/>
        </w:rPr>
        <w:t>(t) provides a structural interpretation for the well-documented lengthening of monetary-policy transmission lags (Havranek and Rusnak, 2013): as the typical investment project takes longer to mature, the real-economy response to interest-rate changes is delayed by the same mechanism that this paper formalises. Third, cross-country heterogeneity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maps onto observable differences in investment composition, suggesting that one-size-fits-all depreciation schedules in the System of National Accounts (SNA) are a measurable source of international GDP comparability problems.</w:t>
      </w:r>
    </w:p>
    <w:p>
      <w:pPr>
        <w:spacing w:after="120" w:line="360" w:lineRule="auto"/>
        <w:ind w:firstLine="480"/>
      </w:pPr>
      <w:r>
        <w:rPr>
          <w:rFonts w:ascii="Times New Roman" w:hAnsi="Times New Roman" w:eastAsia="MS Mincho"/>
          <w:b w:val="0"/>
          <w:i w:val="0"/>
          <w:sz w:val="24"/>
        </w:rPr>
        <w:t>The remainder of the paper proceeds as follows. Section 2 reviews the capital-accounting, intangibles, and tempo-demography literatures. Section 3 develops the theory. Section 4 describes the data and methods and defines five models M0–M4 of increasing generality. Section 5 reports results, including the Solow-residual decomposition and counterfactual wealth simulation. Section 6 discusses policy implications. Section 7 concludes.</w:t>
      </w:r>
    </w:p>
    <w:p>
      <w:pPr>
        <w:spacing w:before="360" w:after="120" w:line="360" w:lineRule="auto"/>
      </w:pPr>
      <w:r>
        <w:rPr>
          <w:rFonts w:ascii="Times New Roman" w:hAnsi="Times New Roman" w:eastAsia="MS Mincho"/>
          <w:b/>
          <w:i w:val="0"/>
          <w:sz w:val="28"/>
        </w:rPr>
        <w:t>2 Related literature</w:t>
      </w:r>
    </w:p>
    <w:p>
      <w:pPr>
        <w:spacing w:after="120" w:line="360" w:lineRule="auto"/>
        <w:ind w:firstLine="480"/>
      </w:pPr>
      <w:r>
        <w:rPr>
          <w:rFonts w:ascii="Times New Roman" w:hAnsi="Times New Roman" w:eastAsia="MS Mincho"/>
          <w:b/>
          <w:i w:val="0"/>
          <w:sz w:val="24"/>
        </w:rPr>
        <w:t>Capital accounting and time-to-build.</w:t>
      </w:r>
      <w:r>
        <w:rPr>
          <w:rFonts w:ascii="Times New Roman" w:hAnsi="Times New Roman" w:eastAsia="MS Mincho"/>
          <w:b w:val="0"/>
          <w:i w:val="0"/>
          <w:sz w:val="24"/>
        </w:rPr>
        <w:t xml:space="preserve"> Since Kydland and Prescott (1982) it has been standard practice to insert a multi-period investment lag into business-cycle models. Empirical estimates are overwhelmingly based on fixed lag structures: a single </w:t>
      </w:r>
      <w:r>
        <w:rPr>
          <w:rFonts w:ascii="Times New Roman" w:hAnsi="Times New Roman" w:eastAsia="MS Mincho"/>
          <w:b w:val="0"/>
          <w:i/>
          <w:sz w:val="24"/>
        </w:rPr>
        <w:t>μ</w:t>
      </w:r>
      <w:r>
        <w:rPr>
          <w:rFonts w:ascii="Times New Roman" w:hAnsi="Times New Roman" w:eastAsia="MS Mincho"/>
          <w:b w:val="0"/>
          <w:i w:val="0"/>
          <w:sz w:val="24"/>
        </w:rPr>
        <w:t xml:space="preserve"> is estimated once for an entire sample, or a small number of regime-dependent </w:t>
      </w:r>
      <w:r>
        <w:rPr>
          <w:rFonts w:ascii="Times New Roman" w:hAnsi="Times New Roman" w:eastAsia="MS Mincho"/>
          <w:b w:val="0"/>
          <w:i/>
          <w:sz w:val="24"/>
        </w:rPr>
        <w:t>μ</w:t>
      </w:r>
      <w:r>
        <w:rPr>
          <w:rFonts w:ascii="Times New Roman" w:hAnsi="Times New Roman" w:eastAsia="MS Mincho"/>
          <w:b w:val="0"/>
          <w:i w:val="0"/>
          <w:sz w:val="24"/>
        </w:rPr>
        <w:t xml:space="preserve">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w:t>
      </w:r>
      <w:r>
        <w:rPr>
          <w:rFonts w:ascii="Times New Roman" w:hAnsi="Times New Roman" w:eastAsia="MS Mincho"/>
          <w:b w:val="0"/>
          <w:i/>
          <w:sz w:val="24"/>
        </w:rPr>
        <w:t>μ</w:t>
      </w:r>
      <w:r>
        <w:rPr>
          <w:rFonts w:ascii="Times New Roman" w:hAnsi="Times New Roman" w:eastAsia="MS Mincho"/>
          <w:b w:val="0"/>
          <w:i w:val="0"/>
          <w:sz w:val="24"/>
        </w:rPr>
        <w:t xml:space="preserve">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360" w:lineRule="auto"/>
        <w:ind w:firstLine="480"/>
      </w:pPr>
      <w:r>
        <w:rPr>
          <w:rFonts w:ascii="Times New Roman" w:hAnsi="Times New Roman" w:eastAsia="MS Mincho"/>
          <w:b/>
          <w:i w:val="0"/>
          <w:sz w:val="24"/>
        </w:rPr>
        <w:t>Intangible capital.</w:t>
      </w:r>
      <w:r>
        <w:rPr>
          <w:rFonts w:ascii="Times New Roman" w:hAnsi="Times New Roman" w:eastAsia="MS Mincho"/>
          <w:b w:val="0"/>
          <w:i w:val="0"/>
          <w:sz w:val="24"/>
        </w:rPr>
        <w:t xml:space="preserve">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2022).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McGrattan and Prescott (2010) and Haskel and Westlake (2017, 2022) emphasise that this omission biases not only the level of measured capital but also the implied productivity growth rate whenever the intangible share is expanding — exactly the setting of our 1995-2019 sample. Importantly, the intangible share </w:t>
      </w:r>
      <w:r>
        <w:rPr>
          <w:rFonts w:ascii="Times New Roman" w:hAnsi="Times New Roman" w:eastAsia="MS Mincho"/>
          <w:b w:val="0"/>
          <w:i/>
          <w:sz w:val="24"/>
        </w:rPr>
        <w:t>β</w:t>
      </w:r>
      <w:r>
        <w:rPr>
          <w:rFonts w:ascii="Times New Roman" w:hAnsi="Times New Roman" w:eastAsia="MS Mincho"/>
          <w:b w:val="0"/>
          <w:i w:val="0"/>
          <w:sz w:val="24"/>
        </w:rPr>
        <w:t xml:space="preserve"> is not a global constant: Japan, Germany, and some East-Asian economies retain a smaller intangible share than the United States even under harmonised measurement (Corrado et al., 2020), so </w:t>
      </w:r>
      <w:r>
        <w:rPr>
          <w:rFonts w:ascii="Times New Roman" w:hAnsi="Times New Roman" w:eastAsia="MS Mincho"/>
          <w:b w:val="0"/>
          <w:i/>
          <w:sz w:val="24"/>
        </w:rPr>
        <w:t>β</w:t>
      </w:r>
      <w:r>
        <w:rPr>
          <w:rFonts w:ascii="Times New Roman" w:hAnsi="Times New Roman" w:eastAsia="MS Mincho"/>
          <w:b w:val="0"/>
          <w:i w:val="0"/>
          <w:sz w:val="24"/>
        </w:rPr>
        <w:t xml:space="preserve"> ought to be a country-specific parameter, which is how we treat it in Sect. 4.</w:t>
      </w:r>
    </w:p>
    <w:p>
      <w:pPr>
        <w:spacing w:after="120" w:line="360" w:lineRule="auto"/>
        <w:ind w:firstLine="480"/>
      </w:pPr>
      <w:r>
        <w:rPr>
          <w:rFonts w:ascii="Times New Roman" w:hAnsi="Times New Roman" w:eastAsia="MS Mincho"/>
          <w:b/>
          <w:i w:val="0"/>
          <w:sz w:val="24"/>
        </w:rPr>
        <w:t>Wealth accounting.</w:t>
      </w:r>
      <w:r>
        <w:rPr>
          <w:rFonts w:ascii="Times New Roman" w:hAnsi="Times New Roman" w:eastAsia="MS Mincho"/>
          <w:b w:val="0"/>
          <w:i w:val="0"/>
          <w:sz w:val="24"/>
        </w:rPr>
        <w:t xml:space="preserve">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360" w:lineRule="auto"/>
        <w:ind w:firstLine="480"/>
      </w:pPr>
      <w:r>
        <w:rPr>
          <w:rFonts w:ascii="Times New Roman" w:hAnsi="Times New Roman" w:eastAsia="MS Mincho"/>
          <w:b/>
          <w:i w:val="0"/>
          <w:sz w:val="24"/>
        </w:rPr>
        <w:t>Tempo and forgotten parameters in demography.</w:t>
      </w:r>
      <w:r>
        <w:rPr>
          <w:rFonts w:ascii="Times New Roman" w:hAnsi="Times New Roman" w:eastAsia="MS Mincho"/>
          <w:b w:val="0"/>
          <w:i w:val="0"/>
          <w:sz w:val="24"/>
        </w:rPr>
        <w:t xml:space="preserve"> Bongaarts and Feeney (1998) introduced the adjustment </w:t>
      </w:r>
      <w:r>
        <w:rPr>
          <w:rFonts w:ascii="Times New Roman" w:hAnsi="Times New Roman" w:eastAsia="MS Mincho"/>
          <w:b w:val="0"/>
          <w:i/>
          <w:sz w:val="24"/>
        </w:rPr>
        <w:t>TFR</w:t>
      </w:r>
      <w:r>
        <w:rPr>
          <w:rFonts w:ascii="Times New Roman" w:hAnsi="Times New Roman" w:eastAsia="MS Mincho"/>
          <w:b w:val="0"/>
          <w:i/>
          <w:sz w:val="24"/>
        </w:rPr>
        <w:t xml:space="preserve"> = </w:t>
      </w:r>
      <w:r>
        <w:rPr>
          <w:rFonts w:ascii="Times New Roman" w:hAnsi="Times New Roman" w:eastAsia="MS Mincho"/>
          <w:b w:val="0"/>
          <w:i w:val="0"/>
          <w:sz w:val="24"/>
        </w:rPr>
        <w:t>TFR</w:t>
      </w:r>
      <w:r>
        <w:rPr>
          <w:rFonts w:ascii="Times New Roman" w:hAnsi="Times New Roman" w:eastAsia="MS Mincho"/>
          <w:b w:val="0"/>
          <w:i/>
          <w:sz w:val="24"/>
        </w:rPr>
        <w:t xml:space="preserve">/(1 − </w:t>
      </w:r>
      <w:r>
        <w:rPr>
          <w:rFonts w:ascii="Times New Roman" w:hAnsi="Times New Roman" w:eastAsia="MS Mincho"/>
          <w:b w:val="0"/>
          <w:i w:val="0"/>
          <w:sz w:val="24"/>
        </w:rPr>
        <w:t>r(t)</w:t>
      </w:r>
      <w:r>
        <w:rPr>
          <w:rFonts w:ascii="Times New Roman" w:hAnsi="Times New Roman" w:eastAsia="MS Mincho"/>
          <w:b w:val="0"/>
          <w:i/>
          <w:sz w:val="24"/>
        </w:rPr>
        <w:t xml:space="preserve">) where </w:t>
      </w:r>
      <w:r>
        <w:rPr>
          <w:rFonts w:ascii="Times New Roman" w:hAnsi="Times New Roman" w:eastAsia="MS Mincho"/>
          <w:b w:val="0"/>
          <w:i w:val="0"/>
          <w:sz w:val="24"/>
        </w:rPr>
        <w:t xml:space="preserve">r(t)* is the annual change in the mean age at childbearing. Goldstein, Lutz, and Scherbov (2003) showed that Bongaarts-Feeney was an upper bound unless a parity-specific "forgotten" variance </w:t>
      </w:r>
      <w:r>
        <w:rPr>
          <w:rFonts w:ascii="Times New Roman" w:hAnsi="Times New Roman" w:eastAsia="MS Mincho"/>
          <w:b w:val="0"/>
          <w:i/>
          <w:sz w:val="24"/>
        </w:rPr>
        <w:t>σ</w:t>
      </w:r>
      <w:r>
        <w:rPr>
          <w:rFonts w:ascii="Times New Roman" w:hAnsi="Times New Roman" w:eastAsia="MS Mincho"/>
          <w:b w:val="0"/>
          <w:i w:val="0"/>
          <w:sz w:val="24"/>
        </w:rPr>
        <w:t xml:space="preserve">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360" w:lineRule="auto"/>
        <w:ind w:firstLine="480"/>
      </w:pPr>
      <w:r>
        <w:rPr>
          <w:rFonts w:ascii="Times New Roman" w:hAnsi="Times New Roman" w:eastAsia="MS Mincho"/>
          <w:b/>
          <w:i w:val="0"/>
          <w:sz w:val="24"/>
        </w:rPr>
        <w:t>Healthcare and human capital sustainability.</w:t>
      </w:r>
      <w:r>
        <w:rPr>
          <w:rFonts w:ascii="Times New Roman" w:hAnsi="Times New Roman" w:eastAsia="MS Mincho"/>
          <w:b w:val="0"/>
          <w:i w:val="0"/>
          <w:sz w:val="24"/>
        </w:rPr>
        <w:t xml:space="preserve"> A companion paper (in preparation) documents that the lag </w:t>
      </w:r>
      <w:r>
        <w:rPr>
          <w:rFonts w:ascii="Times New Roman" w:hAnsi="Times New Roman" w:eastAsia="MS Mincho"/>
          <w:b w:val="0"/>
          <w:i/>
          <w:sz w:val="24"/>
        </w:rPr>
        <w:t>μ</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from medical expenditure to life-expectancy outcomes has been rising by roughly 0.15 years per year since 2000, and that an analogous "forgotten" parameter </w:t>
      </w:r>
      <w:r>
        <w:rPr>
          <w:rFonts w:ascii="Times New Roman" w:hAnsi="Times New Roman" w:eastAsia="MS Mincho"/>
          <w:b w:val="0"/>
          <w:i/>
          <w:sz w:val="24"/>
        </w:rPr>
        <w:t>β</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 the share of expenditure directed to prevention and R&amp;D, as opposed to curative care — accounts for a further share of the US-Japan life-expectancy gap. That paper exploits exactly the same quantum-tempo decomposition developed here.</w:t>
      </w:r>
    </w:p>
    <w:p>
      <w:pPr>
        <w:spacing w:after="120" w:line="360" w:lineRule="auto"/>
        <w:ind w:firstLine="480"/>
      </w:pPr>
      <w:r>
        <w:rPr>
          <w:rFonts w:ascii="Times New Roman" w:hAnsi="Times New Roman" w:eastAsia="MS Mincho"/>
          <w:b/>
          <w:i w:val="0"/>
          <w:sz w:val="24"/>
        </w:rPr>
        <w:t>The gap this paper fills.</w:t>
      </w:r>
      <w:r>
        <w:rPr>
          <w:rFonts w:ascii="Times New Roman" w:hAnsi="Times New Roman" w:eastAsia="MS Mincho"/>
          <w:b w:val="0"/>
          <w:i w:val="0"/>
          <w:sz w:val="24"/>
        </w:rPr>
        <w:t xml:space="preserve">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360" w:lineRule="auto"/>
      </w:pPr>
      <w:r>
        <w:rPr>
          <w:rFonts w:ascii="Times New Roman" w:hAnsi="Times New Roman" w:eastAsia="MS Mincho"/>
          <w:b/>
          <w:i w:val="0"/>
          <w:sz w:val="28"/>
        </w:rPr>
        <w:t>3 Theory</w:t>
      </w:r>
    </w:p>
    <w:p>
      <w:pPr>
        <w:spacing w:before="360" w:after="120" w:line="360" w:lineRule="auto"/>
      </w:pPr>
      <w:r>
        <w:rPr>
          <w:rFonts w:ascii="Times New Roman" w:hAnsi="Times New Roman" w:eastAsia="MS Mincho"/>
          <w:b/>
          <w:i w:val="0"/>
          <w:sz w:val="24"/>
        </w:rPr>
        <w:t>3.1 Flow-side production function with tempo</w:t>
      </w:r>
    </w:p>
    <w:p>
      <w:pPr>
        <w:spacing w:after="120" w:line="360" w:lineRule="auto"/>
        <w:ind w:firstLine="480"/>
      </w:pPr>
      <w:r>
        <w:rPr>
          <w:rFonts w:ascii="Times New Roman" w:hAnsi="Times New Roman" w:eastAsia="MS Mincho"/>
          <w:b w:val="0"/>
          <w:i w:val="0"/>
          <w:sz w:val="24"/>
        </w:rPr>
        <w:t>The textbook production function treats investment as if it matures instantly:</w:t>
      </w:r>
    </w:p>
    <w:p>
      <w:pPr>
        <w:spacing w:before="240" w:after="240" w:line="360" w:lineRule="auto"/>
        <w:ind w:firstLine="0"/>
        <w:jc w:val="center"/>
        <w:tabs>
          <w:tab w:val="right" w:pos="9072" w:leader="none"/>
        </w:tabs>
      </w:pP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 xml:space="preserve">nstant(t)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K</w:t>
      </w:r>
      <w:r>
        <w:rPr>
          <w:rFonts w:ascii="Times New Roman" w:hAnsi="Times New Roman" w:eastAsia="MS Mincho"/>
          <w:b w:val="0"/>
          <w:i/>
          <w:sz w:val="24"/>
          <w:vertAlign w:val="subscript"/>
        </w:rPr>
        <w:t>i</w:t>
      </w:r>
      <w:r>
        <w:rPr>
          <w:rFonts w:ascii="Times New Roman" w:hAnsi="Times New Roman" w:eastAsia="MS Mincho"/>
          <w:b w:val="0"/>
          <w:i/>
          <w:sz w:val="24"/>
        </w:rPr>
        <w:t>nstant(t−1) + I</w:t>
      </w:r>
      <w:r>
        <w:rPr>
          <w:rFonts w:ascii="Times New Roman" w:hAnsi="Times New Roman" w:eastAsia="MS Mincho"/>
          <w:b w:val="0"/>
          <w:i/>
          <w:sz w:val="24"/>
          <w:vertAlign w:val="subscript"/>
        </w:rPr>
        <w:t>t-1</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(M0)</w:t>
      </w:r>
    </w:p>
    <w:p>
      <w:pPr>
        <w:spacing w:after="120" w:line="36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K(t; </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xml:space="preserve">) K(t−1;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Σ</w:t>
      </w:r>
      <w:r>
        <w:rPr>
          <w:rFonts w:ascii="Times New Roman" w:hAnsi="Times New Roman" w:eastAsia="MS Mincho"/>
          <w:b w:val="0"/>
          <w:i/>
          <w:sz w:val="24"/>
        </w:rPr>
        <w:t>ₛ 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I</w:t>
      </w:r>
      <w:r>
        <w:rPr>
          <w:rFonts w:ascii="Times New Roman" w:hAnsi="Times New Roman" w:eastAsia="MS Mincho"/>
          <w:b w:val="0"/>
          <w:i/>
          <w:sz w:val="24"/>
          <w:vertAlign w:val="subscript"/>
        </w:rPr>
        <w:t>t-1-s</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(M1)</w:t>
      </w:r>
    </w:p>
    <w:p>
      <w:pPr>
        <w:spacing w:after="120" w:line="360" w:lineRule="auto"/>
        <w:ind w:firstLine="480"/>
      </w:pPr>
      <w:r>
        <w:rPr>
          <w:rFonts w:ascii="Times New Roman" w:hAnsi="Times New Roman" w:eastAsia="MS Mincho"/>
          <w:b w:val="0"/>
          <w:i w:val="0"/>
          <w:sz w:val="24"/>
        </w:rPr>
        <w:t xml:space="preserve">with geometric weights </w:t>
      </w:r>
      <w:r>
        <w:rPr>
          <w:rFonts w:ascii="Times New Roman" w:hAnsi="Times New Roman" w:eastAsia="MS Mincho"/>
          <w:b w:val="0"/>
          <w:i/>
          <w:sz w:val="24"/>
        </w:rPr>
        <w:t>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θ</w:t>
      </w:r>
      <w:r>
        <w:rPr>
          <w:rFonts w:ascii="Times New Roman" w:hAnsi="Times New Roman" w:eastAsia="MS Mincho"/>
          <w:b w:val="0"/>
          <w:i/>
          <w:sz w:val="24"/>
        </w:rPr>
        <w:t>)·</w:t>
      </w:r>
      <w:r>
        <w:rPr>
          <w:rFonts w:ascii="Times New Roman" w:hAnsi="Times New Roman" w:eastAsia="MS Mincho"/>
          <w:b w:val="0"/>
          <w:i/>
          <w:sz w:val="24"/>
        </w:rPr>
        <w:t>θ</w:t>
      </w:r>
      <w:r>
        <w:rPr>
          <w:rFonts w:ascii="Times New Roman" w:hAnsi="Times New Roman" w:eastAsia="MS Mincho"/>
          <w:b w:val="0"/>
          <w:i/>
          <w:sz w:val="24"/>
          <w:vertAlign w:val="superscript"/>
        </w:rPr>
        <w:t>s</w:t>
      </w:r>
      <w:r>
        <w:rPr>
          <w:rFonts w:ascii="Times New Roman" w:hAnsi="Times New Roman" w:eastAsia="MS Mincho"/>
          <w:b w:val="0"/>
          <w:i w:val="0"/>
          <w:sz w:val="24"/>
        </w:rPr>
        <w:t xml:space="preserve"> and </w:t>
      </w:r>
      <w:r>
        <w:rPr>
          <w:rFonts w:ascii="Times New Roman" w:hAnsi="Times New Roman" w:eastAsia="MS Mincho"/>
          <w:b w:val="0"/>
          <w:i/>
          <w:sz w:val="24"/>
        </w:rPr>
        <w:t>θ</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sz w:val="24"/>
        </w:rPr>
        <w:t>/(1+</w:t>
      </w:r>
      <w:r>
        <w:rPr>
          <w:rFonts w:ascii="Times New Roman" w:hAnsi="Times New Roman" w:eastAsia="MS Mincho"/>
          <w:b w:val="0"/>
          <w:i/>
          <w:sz w:val="24"/>
        </w:rPr>
        <w:t>μ</w:t>
      </w:r>
      <w:r>
        <w:rPr>
          <w:rFonts w:ascii="Times New Roman" w:hAnsi="Times New Roman" w:eastAsia="MS Mincho"/>
          <w:b w:val="0"/>
          <w:i/>
          <w:sz w:val="24"/>
        </w:rPr>
        <w:t>)</w:t>
      </w:r>
      <w:r>
        <w:rPr>
          <w:rFonts w:ascii="Times New Roman" w:hAnsi="Times New Roman" w:eastAsia="MS Mincho"/>
          <w:b w:val="0"/>
          <w:i w:val="0"/>
          <w:sz w:val="24"/>
        </w:rPr>
        <w:t xml:space="preserve">, so the mean lag is exactly </w:t>
      </w:r>
      <w:r>
        <w:rPr>
          <w:rFonts w:ascii="Times New Roman" w:hAnsi="Times New Roman" w:eastAsia="MS Mincho"/>
          <w:b w:val="0"/>
          <w:i/>
          <w:sz w:val="24"/>
        </w:rPr>
        <w:t>μ</w:t>
      </w:r>
      <w:r>
        <w:rPr>
          <w:rFonts w:ascii="Times New Roman" w:hAnsi="Times New Roman" w:eastAsia="MS Mincho"/>
          <w:b w:val="0"/>
          <w:i w:val="0"/>
          <w:sz w:val="24"/>
        </w:rPr>
        <w:t xml:space="preserve"> years. The key novelty relative to the existing lag literature is to allow </w:t>
      </w:r>
      <w:r>
        <w:rPr>
          <w:rFonts w:ascii="Times New Roman" w:hAnsi="Times New Roman" w:eastAsia="MS Mincho"/>
          <w:b w:val="0"/>
          <w:i/>
          <w:sz w:val="24"/>
        </w:rPr>
        <w:t>μ</w:t>
      </w:r>
      <w:r>
        <w:rPr>
          <w:rFonts w:ascii="Times New Roman" w:hAnsi="Times New Roman" w:eastAsia="MS Mincho"/>
          <w:b w:val="0"/>
          <w:i w:val="0"/>
          <w:sz w:val="24"/>
        </w:rPr>
        <w:t xml:space="preserve"> to drift linearly over time:</w:t>
      </w:r>
    </w:p>
    <w:p>
      <w:pPr>
        <w:spacing w:before="240" w:after="240" w:line="360" w:lineRule="auto"/>
        <w:ind w:firstLine="0"/>
        <w:jc w:val="center"/>
        <w:tabs>
          <w:tab w:val="right" w:pos="9072" w:leader="none"/>
        </w:tabs>
      </w:pPr>
      <w:r>
        <w:rPr>
          <w:rFonts w:ascii="Times New Roman" w:hAnsi="Times New Roman" w:eastAsia="MS Mincho"/>
          <w:b w:val="0"/>
          <w:i/>
          <w:sz w:val="24"/>
        </w:rPr>
        <w:t>μ</w:t>
      </w:r>
      <w:r>
        <w:rPr>
          <w:rFonts w:ascii="Times New Roman" w:hAnsi="Times New Roman" w:eastAsia="MS Mincho"/>
          <w:b w:val="0"/>
          <w:i/>
          <w:sz w:val="24"/>
        </w:rPr>
        <w:t xml:space="preserve">(t) = </w:t>
      </w:r>
      <w:r>
        <w:rPr>
          <w:rFonts w:ascii="Times New Roman" w:hAnsi="Times New Roman" w:eastAsia="MS Mincho"/>
          <w:b w:val="0"/>
          <w:i/>
          <w:sz w:val="24"/>
        </w:rPr>
        <w:t>μ</w:t>
      </w:r>
      <w:r>
        <w:rPr>
          <w:rFonts w:ascii="Times New Roman" w:hAnsi="Times New Roman" w:eastAsia="MS Mincho"/>
          <w:b w:val="0"/>
          <w:i/>
          <w:sz w:val="24"/>
        </w:rPr>
        <w:t xml:space="preserve">₀ + </w:t>
      </w:r>
      <w:r>
        <w:rPr>
          <w:rFonts w:ascii="Times New Roman" w:hAnsi="Times New Roman" w:eastAsia="MS Mincho"/>
          <w:b w:val="0"/>
          <w:i/>
          <w:sz w:val="24"/>
        </w:rPr>
        <w:t>μ</w:t>
      </w:r>
      <w:r>
        <w:rPr>
          <w:rFonts w:ascii="Times New Roman" w:hAnsi="Times New Roman" w:eastAsia="MS Mincho"/>
          <w:b w:val="0"/>
          <w:i/>
          <w:sz w:val="24"/>
        </w:rPr>
        <w:t>₁·(t − t₀),</w:t>
      </w:r>
      <w:r>
        <w:rPr>
          <w:rFonts w:ascii="Times New Roman" w:hAnsi="Times New Roman" w:eastAsia="MS Mincho"/>
          <w:b w:val="0"/>
          <w:i w:val="0"/>
          <w:sz w:val="24"/>
        </w:rPr>
        <w:tab/>
      </w:r>
      <w:r>
        <w:rPr>
          <w:rFonts w:ascii="Times New Roman" w:hAnsi="Times New Roman" w:eastAsia="MS Mincho"/>
          <w:b w:val="0"/>
          <w:i w:val="0"/>
          <w:sz w:val="24"/>
        </w:rPr>
        <w:t>(M2)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μ</w:t>
      </w:r>
      <w:r>
        <w:rPr>
          <w:rFonts w:ascii="Times New Roman" w:hAnsi="Times New Roman" w:eastAsia="MS Mincho"/>
          <w:b w:val="0"/>
          <w:i w:val="0"/>
          <w:sz w:val="24"/>
        </w:rPr>
        <w:t xml:space="preserve">₁ captures the "tempo" in Bongaarts-Feeney's sense. A positive </w:t>
      </w:r>
      <w:r>
        <w:rPr>
          <w:rFonts w:ascii="Times New Roman" w:hAnsi="Times New Roman" w:eastAsia="MS Mincho"/>
          <w:b w:val="0"/>
          <w:i/>
          <w:sz w:val="24"/>
        </w:rPr>
        <w:t>μ</w:t>
      </w:r>
      <w:r>
        <w:rPr>
          <w:rFonts w:ascii="Times New Roman" w:hAnsi="Times New Roman" w:eastAsia="MS Mincho"/>
          <w:b w:val="0"/>
          <w:i w:val="0"/>
          <w:sz w:val="24"/>
        </w:rPr>
        <w:t xml:space="preserve">₁ indicates that typical projects are becoming longer-lived — for example because new investment is increasingly digital infrastructure, R&amp;D platforms, or complex systems that require multi-year assembly — and a negative </w:t>
      </w:r>
      <w:r>
        <w:rPr>
          <w:rFonts w:ascii="Times New Roman" w:hAnsi="Times New Roman" w:eastAsia="MS Mincho"/>
          <w:b w:val="0"/>
          <w:i/>
          <w:sz w:val="24"/>
        </w:rPr>
        <w:t>μ</w:t>
      </w:r>
      <w:r>
        <w:rPr>
          <w:rFonts w:ascii="Times New Roman" w:hAnsi="Times New Roman" w:eastAsia="MS Mincho"/>
          <w:b w:val="0"/>
          <w:i w:val="0"/>
          <w:sz w:val="24"/>
        </w:rPr>
        <w:t>₁ would indicate the opposite.</w:t>
      </w:r>
    </w:p>
    <w:p>
      <w:pPr>
        <w:spacing w:before="360" w:after="120" w:line="360" w:lineRule="auto"/>
      </w:pPr>
      <w:r>
        <w:rPr>
          <w:rFonts w:ascii="Times New Roman" w:hAnsi="Times New Roman" w:eastAsia="MS Mincho"/>
          <w:b/>
          <w:i w:val="0"/>
          <w:sz w:val="24"/>
        </w:rPr>
        <w:t>3.2 Stock-side intangibles: the forgotten β</w:t>
      </w:r>
    </w:p>
    <w:p>
      <w:pPr>
        <w:spacing w:after="120" w:line="360" w:lineRule="auto"/>
        <w:ind w:firstLine="480"/>
      </w:pPr>
      <w:r>
        <w:rPr>
          <w:rFonts w:ascii="Times New Roman" w:hAnsi="Times New Roman" w:eastAsia="MS Mincho"/>
          <w:b w:val="0"/>
          <w:i w:val="0"/>
          <w:sz w:val="24"/>
        </w:rPr>
        <w:t xml:space="preserve">Let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ang(t)</w:t>
      </w:r>
      <w:r>
        <w:rPr>
          <w:rFonts w:ascii="Times New Roman" w:hAnsi="Times New Roman" w:eastAsia="MS Mincho"/>
          <w:b w:val="0"/>
          <w:i w:val="0"/>
          <w:sz w:val="24"/>
        </w:rPr>
        <w:t xml:space="preserve"> be the tangible PIM stock from (M1)–(M2)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be an intangible stock built from R&amp;D expenditure by a geometric PIM with depreciation </w:t>
      </w:r>
      <w:r>
        <w:rPr>
          <w:rFonts w:ascii="Times New Roman" w:hAnsi="Times New Roman" w:eastAsia="MS Mincho"/>
          <w:b w:val="0"/>
          <w:i/>
          <w:sz w:val="24"/>
        </w:rPr>
        <w:t>δ</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 0.15 (Corrado-Hulten-Sichel, 2009). A production function augmented by intangibles reads:</w:t>
      </w:r>
    </w:p>
    <w:p>
      <w:pPr>
        <w:spacing w:before="240" w:after="240" w:line="360" w:lineRule="auto"/>
        <w:ind w:firstLine="0"/>
        <w:jc w:val="center"/>
        <w:tabs>
          <w:tab w:val="right" w:pos="9072" w:leader="none"/>
        </w:tabs>
      </w:pPr>
      <w:r>
        <w:rPr>
          <w:rFonts w:ascii="Times New Roman" w:hAnsi="Times New Roman" w:eastAsia="MS Mincho"/>
          <w:b w:val="0"/>
          <w:i/>
          <w:sz w:val="24"/>
        </w:rPr>
        <w:t>log Y</w:t>
      </w:r>
      <w:r>
        <w:rPr>
          <w:rFonts w:ascii="Times New Roman" w:hAnsi="Times New Roman" w:eastAsia="MS Mincho"/>
          <w:b w:val="0"/>
          <w:i/>
          <w:sz w:val="24"/>
          <w:vertAlign w:val="subscript"/>
        </w:rPr>
        <w:t>t</w:t>
      </w:r>
      <w:r>
        <w:rPr>
          <w:rFonts w:ascii="Times New Roman" w:hAnsi="Times New Roman" w:eastAsia="MS Mincho"/>
          <w:b w:val="0"/>
          <w:i/>
          <w:sz w:val="24"/>
        </w:rPr>
        <w:t xml:space="preserve"> = </w:t>
      </w:r>
      <w:r>
        <w:rPr>
          <w:rFonts w:ascii="Times New Roman" w:hAnsi="Times New Roman" w:eastAsia="MS Mincho"/>
          <w:b w:val="0"/>
          <w:i/>
          <w:sz w:val="24"/>
        </w:rPr>
        <w:t>α</w:t>
      </w:r>
      <w:r>
        <w:rPr>
          <w:rFonts w:ascii="Times New Roman" w:hAnsi="Times New Roman" w:eastAsia="MS Mincho"/>
          <w:b w:val="0"/>
          <w:i/>
          <w:sz w:val="24"/>
        </w:rPr>
        <w:t xml:space="preserve"> log K</w:t>
      </w:r>
      <w:r>
        <w:rPr>
          <w:rFonts w:ascii="Times New Roman" w:hAnsi="Times New Roman" w:eastAsia="MS Mincho"/>
          <w:b w:val="0"/>
          <w:i/>
          <w:sz w:val="24"/>
          <w:vertAlign w:val="subscript"/>
        </w:rPr>
        <w:t>t</w:t>
      </w:r>
      <w:r>
        <w:rPr>
          <w:rFonts w:ascii="Times New Roman" w:hAnsi="Times New Roman" w:eastAsia="MS Mincho"/>
          <w:b w:val="0"/>
          <w:i/>
          <w:sz w:val="24"/>
        </w:rPr>
        <w:t xml:space="preserve">ang(t) + </w:t>
      </w:r>
      <w:r>
        <w:rPr>
          <w:rFonts w:ascii="Times New Roman" w:hAnsi="Times New Roman" w:eastAsia="MS Mincho"/>
          <w:b w:val="0"/>
          <w:i/>
          <w:sz w:val="24"/>
        </w:rPr>
        <w:t>β</w:t>
      </w:r>
      <w:r>
        <w:rPr>
          <w:rFonts w:ascii="Times New Roman" w:hAnsi="Times New Roman" w:eastAsia="MS Mincho"/>
          <w:b w:val="0"/>
          <w:i/>
          <w:sz w:val="24"/>
        </w:rPr>
        <w:t xml:space="preserve"> log K</w:t>
      </w:r>
      <w:r>
        <w:rPr>
          <w:rFonts w:ascii="Times New Roman" w:hAnsi="Times New Roman" w:eastAsia="MS Mincho"/>
          <w:b w:val="0"/>
          <w:i/>
          <w:sz w:val="24"/>
          <w:vertAlign w:val="subscript"/>
        </w:rPr>
        <w:t>I</w:t>
      </w:r>
      <w:r>
        <w:rPr>
          <w:rFonts w:ascii="Times New Roman" w:hAnsi="Times New Roman" w:eastAsia="MS Mincho"/>
          <w:b w:val="0"/>
          <w:i/>
          <w:sz w:val="24"/>
        </w:rPr>
        <w:t xml:space="preserve">(t) + (1 − </w:t>
      </w:r>
      <w:r>
        <w:rPr>
          <w:rFonts w:ascii="Times New Roman" w:hAnsi="Times New Roman" w:eastAsia="MS Mincho"/>
          <w:b w:val="0"/>
          <w:i/>
          <w:sz w:val="24"/>
        </w:rPr>
        <w:t>α</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log L</w:t>
      </w:r>
      <w:r>
        <w:rPr>
          <w:rFonts w:ascii="Times New Roman" w:hAnsi="Times New Roman" w:eastAsia="MS Mincho"/>
          <w:b w:val="0"/>
          <w:i/>
          <w:sz w:val="24"/>
          <w:vertAlign w:val="subscript"/>
        </w:rPr>
        <w:t>t</w:t>
      </w:r>
      <w:r>
        <w:rPr>
          <w:rFonts w:ascii="Times New Roman" w:hAnsi="Times New Roman" w:eastAsia="MS Mincho"/>
          <w:b w:val="0"/>
          <w:i/>
          <w:sz w:val="24"/>
        </w:rPr>
        <w:t xml:space="preserve"> + log A</w:t>
      </w:r>
      <w:r>
        <w:rPr>
          <w:rFonts w:ascii="Times New Roman" w:hAnsi="Times New Roman" w:eastAsia="MS Mincho"/>
          <w:b w:val="0"/>
          <w:i/>
          <w:sz w:val="24"/>
          <w:vertAlign w:val="subscript"/>
        </w:rPr>
        <w:t>t</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(M3)</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β</w:t>
      </w:r>
      <w:r>
        <w:rPr>
          <w:rFonts w:ascii="Times New Roman" w:hAnsi="Times New Roman" w:eastAsia="MS Mincho"/>
          <w:b w:val="0"/>
          <w:i w:val="0"/>
          <w:sz w:val="24"/>
        </w:rPr>
        <w:t xml:space="preserve"> is the intangible share. Standard practice imposes </w:t>
      </w:r>
      <w:r>
        <w:rPr>
          <w:rFonts w:ascii="Times New Roman" w:hAnsi="Times New Roman" w:eastAsia="MS Mincho"/>
          <w:b w:val="0"/>
          <w:i/>
          <w:sz w:val="24"/>
        </w:rPr>
        <w:t>β</w:t>
      </w:r>
      <w:r>
        <w:rPr>
          <w:rFonts w:ascii="Times New Roman" w:hAnsi="Times New Roman" w:eastAsia="MS Mincho"/>
          <w:b w:val="0"/>
          <w:i w:val="0"/>
          <w:sz w:val="24"/>
        </w:rPr>
        <w:t xml:space="preserve"> = 0 (Solow; also M0 and M1 here). Estimating </w:t>
      </w:r>
      <w:r>
        <w:rPr>
          <w:rFonts w:ascii="Times New Roman" w:hAnsi="Times New Roman" w:eastAsia="MS Mincho"/>
          <w:b w:val="0"/>
          <w:i/>
          <w:sz w:val="24"/>
        </w:rPr>
        <w:t>β</w:t>
      </w:r>
      <w:r>
        <w:rPr>
          <w:rFonts w:ascii="Times New Roman" w:hAnsi="Times New Roman" w:eastAsia="MS Mincho"/>
          <w:b w:val="0"/>
          <w:i w:val="0"/>
          <w:sz w:val="24"/>
        </w:rPr>
        <w:t xml:space="preserve"> &gt; 0 is the capital-accounting analogue of re-introducing the parity-specific variance </w:t>
      </w:r>
      <w:r>
        <w:rPr>
          <w:rFonts w:ascii="Times New Roman" w:hAnsi="Times New Roman" w:eastAsia="MS Mincho"/>
          <w:b w:val="0"/>
          <w:i/>
          <w:sz w:val="24"/>
        </w:rPr>
        <w:t>σ</w:t>
      </w:r>
      <w:r>
        <w:rPr>
          <w:rFonts w:ascii="Times New Roman" w:hAnsi="Times New Roman" w:eastAsia="MS Mincho"/>
          <w:b w:val="0"/>
          <w:i w:val="0"/>
          <w:sz w:val="24"/>
        </w:rPr>
        <w:t xml:space="preserve"> in Goldstein-Lutz-Scherbov.</w:t>
      </w:r>
    </w:p>
    <w:p>
      <w:pPr>
        <w:spacing w:before="360" w:after="120" w:line="360" w:lineRule="auto"/>
      </w:pPr>
      <w:r>
        <w:rPr>
          <w:rFonts w:ascii="Times New Roman" w:hAnsi="Times New Roman" w:eastAsia="MS Mincho"/>
          <w:b/>
          <w:i w:val="0"/>
          <w:sz w:val="24"/>
        </w:rPr>
        <w:t>3.3 Unifying identity: the flow-stock joint loss</w:t>
      </w:r>
    </w:p>
    <w:p>
      <w:pPr>
        <w:spacing w:after="120" w:line="360" w:lineRule="auto"/>
        <w:ind w:firstLine="480"/>
      </w:pPr>
      <w:r>
        <w:rPr>
          <w:rFonts w:ascii="Times New Roman" w:hAnsi="Times New Roman" w:eastAsia="MS Mincho"/>
          <w:b w:val="0"/>
          <w:i w:val="0"/>
          <w:sz w:val="24"/>
        </w:rPr>
        <w:t xml:space="preserve">Any consistent national wealth aggregate </w:t>
      </w:r>
      <w:r>
        <w:rPr>
          <w:rFonts w:ascii="Times New Roman" w:hAnsi="Times New Roman" w:eastAsia="MS Mincho"/>
          <w:b w:val="0"/>
          <w:i/>
          <w:sz w:val="24"/>
        </w:rPr>
        <w:t>W(t)</w:t>
      </w:r>
      <w:r>
        <w:rPr>
          <w:rFonts w:ascii="Times New Roman" w:hAnsi="Times New Roman" w:eastAsia="MS Mincho"/>
          <w:b w:val="0"/>
          <w:i w:val="0"/>
          <w:sz w:val="24"/>
        </w:rPr>
        <w:t xml:space="preserve"> must satisfy the book-keeping identity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dW/dt = S(Y) −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sz w:val="24"/>
        </w:rPr>
        <w:t xml:space="preserve"> · W,</w:t>
      </w:r>
      <w:r>
        <w:rPr>
          <w:rFonts w:ascii="Times New Roman" w:hAnsi="Times New Roman" w:eastAsia="MS Mincho"/>
          <w:b w:val="0"/>
          <w:i w:val="0"/>
          <w:sz w:val="24"/>
        </w:rPr>
        <w:tab/>
      </w:r>
      <w:r>
        <w:rPr>
          <w:rFonts w:ascii="Times New Roman" w:hAnsi="Times New Roman" w:eastAsia="MS Mincho"/>
          <w:b w:val="0"/>
          <w:i w:val="0"/>
          <w:sz w:val="24"/>
        </w:rPr>
        <w:t>(1)</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S(Y)</w:t>
      </w:r>
      <w:r>
        <w:rPr>
          <w:rFonts w:ascii="Times New Roman" w:hAnsi="Times New Roman" w:eastAsia="MS Mincho"/>
          <w:b w:val="0"/>
          <w:i w:val="0"/>
          <w:sz w:val="24"/>
        </w:rPr>
        <w:t xml:space="preserve"> is gross saving and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val="0"/>
          <w:sz w:val="24"/>
        </w:rPr>
        <w:t xml:space="preserve"> is the aggregate depreciation rate. Under (1), the same parameters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that govern the production side should also govern the reproducible-capital trajectory implied by the wealth account. We therefore define a single joint loss:</w:t>
      </w:r>
    </w:p>
    <w:p>
      <w:pPr>
        <w:spacing w:before="240" w:after="240" w:line="360" w:lineRule="auto"/>
        <w:ind w:firstLine="0"/>
        <w:jc w:val="center"/>
        <w:tabs>
          <w:tab w:val="right" w:pos="9072" w:leader="none"/>
        </w:tabs>
      </w:pPr>
      <w:r>
        <w:rPr>
          <w:rFonts w:ascii="Times New Roman" w:hAnsi="Times New Roman" w:eastAsia="MS Mincho"/>
          <w:b w:val="0"/>
          <w:i/>
          <w:sz w:val="24"/>
        </w:rPr>
        <w:t>L</w:t>
      </w:r>
      <w:r>
        <w:rPr>
          <w:rFonts w:ascii="Times New Roman" w:hAnsi="Times New Roman" w:eastAsia="MS Mincho"/>
          <w:b w:val="0"/>
          <w:i/>
          <w:sz w:val="24"/>
          <w:vertAlign w:val="subscript"/>
        </w:rPr>
        <w:t>t</w:t>
      </w:r>
      <w:r>
        <w:rPr>
          <w:rFonts w:ascii="Times New Roman" w:hAnsi="Times New Roman" w:eastAsia="MS Mincho"/>
          <w:b w:val="0"/>
          <w:i/>
          <w:sz w:val="24"/>
        </w:rPr>
        <w:t>otal(</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 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xml:space="preserve">) + </w:t>
      </w:r>
      <w:r>
        <w:rPr>
          <w:rFonts w:ascii="Times New Roman" w:hAnsi="Times New Roman" w:eastAsia="MS Mincho"/>
          <w:b w:val="0"/>
          <w:i/>
          <w:sz w:val="24"/>
        </w:rPr>
        <w:t>λ</w:t>
      </w:r>
      <w:r>
        <w:rPr>
          <w:rFonts w:ascii="Times New Roman" w:hAnsi="Times New Roman" w:eastAsia="MS Mincho"/>
          <w:b w:val="0"/>
          <w:i/>
          <w:sz w:val="24"/>
        </w:rPr>
        <w:t xml:space="preserve"> · 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val="0"/>
          <w:sz w:val="24"/>
        </w:rPr>
        <w:t xml:space="preserve"> is the growth-rate residual from the production function (M3) and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is the within-country trajectory RMSE between the PIM stock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xml:space="preserve">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and the CWON produced-capital series NW.PCA.TO(t). Minimising (2) delivers the "M4 joint" estimates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w:t>
      </w:r>
      <w:r>
        <w:rPr>
          <w:rFonts w:ascii="Times New Roman" w:hAnsi="Times New Roman" w:eastAsia="MS Mincho"/>
          <w:b w:val="0"/>
          <w:i/>
          <w:sz w:val="24"/>
        </w:rPr>
        <w:t>β</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used below; setting </w:t>
      </w:r>
      <w:r>
        <w:rPr>
          <w:rFonts w:ascii="Times New Roman" w:hAnsi="Times New Roman" w:eastAsia="MS Mincho"/>
          <w:b w:val="0"/>
          <w:i/>
          <w:sz w:val="24"/>
        </w:rPr>
        <w:t>λ</w:t>
      </w:r>
      <w:r>
        <w:rPr>
          <w:rFonts w:ascii="Times New Roman" w:hAnsi="Times New Roman" w:eastAsia="MS Mincho"/>
          <w:b w:val="0"/>
          <w:i w:val="0"/>
          <w:sz w:val="24"/>
        </w:rPr>
        <w:t xml:space="preserve"> = 0 recovers production-only estimates.</w:t>
      </w:r>
    </w:p>
    <w:p>
      <w:pPr>
        <w:spacing w:before="360" w:after="120" w:line="360" w:lineRule="auto"/>
      </w:pPr>
      <w:r>
        <w:rPr>
          <w:rFonts w:ascii="Times New Roman" w:hAnsi="Times New Roman" w:eastAsia="MS Mincho"/>
          <w:b/>
          <w:i w:val="0"/>
          <w:sz w:val="24"/>
        </w:rPr>
        <w:t>3.4 Quantum–tempo correspondence between population and capital</w:t>
      </w:r>
    </w:p>
    <w:p>
      <w:pPr>
        <w:spacing w:after="120" w:line="360" w:lineRule="auto"/>
        <w:ind w:firstLine="480"/>
      </w:pPr>
      <w:r>
        <w:rPr>
          <w:rFonts w:ascii="Times New Roman" w:hAnsi="Times New Roman" w:eastAsia="MS Mincho"/>
          <w:b w:val="0"/>
          <w:i w:val="0"/>
          <w:sz w:val="24"/>
        </w:rPr>
        <w:t xml:space="preserve">Table 1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w:t>
      </w:r>
      <w:r>
        <w:rPr>
          <w:rFonts w:ascii="Times New Roman" w:hAnsi="Times New Roman" w:eastAsia="MS Mincho"/>
          <w:b w:val="0"/>
          <w:i/>
          <w:sz w:val="24"/>
        </w:rPr>
        <w:t>σ</w:t>
      </w:r>
      <w:r>
        <w:rPr>
          <w:rFonts w:ascii="Times New Roman" w:hAnsi="Times New Roman" w:eastAsia="MS Mincho"/>
          <w:b w:val="0"/>
          <w:i w:val="0"/>
          <w:sz w:val="24"/>
        </w:rPr>
        <w:t xml:space="preserve"> from fertility tempo (cohort-consistency tests, Brass relational models) have direct analogues in capital accounting, which we exploit.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before="360" w:after="120" w:line="360" w:lineRule="auto"/>
      </w:pPr>
      <w:r>
        <w:rPr>
          <w:rFonts w:ascii="Times New Roman" w:hAnsi="Times New Roman" w:eastAsia="MS Mincho"/>
          <w:b/>
          <w:i w:val="0"/>
          <w:sz w:val="24"/>
        </w:rPr>
        <w:t>3.5 Relational PIM: a Brass model for capital accounting</w:t>
      </w:r>
    </w:p>
    <w:p>
      <w:pPr>
        <w:spacing w:after="120" w:line="360" w:lineRule="auto"/>
        <w:ind w:firstLine="480"/>
      </w:pPr>
      <w:r>
        <w:rPr>
          <w:rFonts w:ascii="Times New Roman" w:hAnsi="Times New Roman" w:eastAsia="MS Mincho"/>
          <w:b w:val="0"/>
          <w:i w:val="0"/>
          <w:sz w:val="24"/>
        </w:rPr>
        <w:t xml:space="preserve">Demography has long employed Brass relational models to compare an observed fertility or mortality schedule against a "standard" schedule via a small number of parameters that capture systematic deviations (Brass, 1971). We transplant this idea to capital accounting. Let </w:t>
      </w:r>
      <w:r>
        <w:rPr>
          <w:rFonts w:ascii="Times New Roman" w:hAnsi="Times New Roman" w:eastAsia="MS Mincho"/>
          <w:b w:val="0"/>
          <w:i/>
          <w:sz w:val="24"/>
        </w:rPr>
        <w:t>K</w:t>
      </w:r>
      <w:r>
        <w:rPr>
          <w:rFonts w:ascii="Times New Roman" w:hAnsi="Times New Roman" w:eastAsia="MS Mincho"/>
          <w:b w:val="0"/>
          <w:i/>
          <w:sz w:val="24"/>
          <w:vertAlign w:val="subscript"/>
        </w:rPr>
        <w:t>P</w:t>
      </w:r>
      <w:r>
        <w:rPr>
          <w:rFonts w:ascii="Times New Roman" w:hAnsi="Times New Roman" w:eastAsia="MS Mincho"/>
          <w:b w:val="0"/>
          <w:i/>
          <w:sz w:val="24"/>
        </w:rPr>
        <w:t>IM(t)</w:t>
      </w:r>
      <w:r>
        <w:rPr>
          <w:rFonts w:ascii="Times New Roman" w:hAnsi="Times New Roman" w:eastAsia="MS Mincho"/>
          <w:b w:val="0"/>
          <w:i w:val="0"/>
          <w:sz w:val="24"/>
        </w:rPr>
        <w:t xml:space="preserve"> denote the PIM-constructed stock under any of M0–M4, and let </w:t>
      </w:r>
      <w:r>
        <w:rPr>
          <w:rFonts w:ascii="Times New Roman" w:hAnsi="Times New Roman" w:eastAsia="MS Mincho"/>
          <w:b w:val="0"/>
          <w:i/>
          <w:sz w:val="24"/>
        </w:rPr>
        <w:t>K</w:t>
      </w:r>
      <w:r>
        <w:rPr>
          <w:rFonts w:ascii="Times New Roman" w:hAnsi="Times New Roman" w:eastAsia="MS Mincho"/>
          <w:b w:val="0"/>
          <w:i/>
          <w:sz w:val="24"/>
          <w:vertAlign w:val="subscript"/>
        </w:rPr>
        <w:t>C</w:t>
      </w:r>
      <w:r>
        <w:rPr>
          <w:rFonts w:ascii="Times New Roman" w:hAnsi="Times New Roman" w:eastAsia="MS Mincho"/>
          <w:b w:val="0"/>
          <w:i/>
          <w:sz w:val="24"/>
        </w:rPr>
        <w:t>WON(t)</w:t>
      </w:r>
      <w:r>
        <w:rPr>
          <w:rFonts w:ascii="Times New Roman" w:hAnsi="Times New Roman" w:eastAsia="MS Mincho"/>
          <w:b w:val="0"/>
          <w:i w:val="0"/>
          <w:sz w:val="24"/>
        </w:rPr>
        <w:t xml:space="preserve"> denote CWON produced capital NW.PCA.TO. We define the </w:t>
      </w:r>
      <w:r>
        <w:rPr>
          <w:rFonts w:ascii="Times New Roman" w:hAnsi="Times New Roman" w:eastAsia="MS Mincho"/>
          <w:b/>
          <w:i w:val="0"/>
          <w:sz w:val="24"/>
        </w:rPr>
        <w:t>Relational PIM</w:t>
      </w:r>
      <w:r>
        <w:rPr>
          <w:rFonts w:ascii="Times New Roman" w:hAnsi="Times New Roman" w:eastAsia="MS Mincho"/>
          <w:b w:val="0"/>
          <w:i w:val="0"/>
          <w:sz w:val="24"/>
        </w:rPr>
        <w:t xml:space="preserve"> (RPIM) as:</w:t>
      </w:r>
    </w:p>
    <w:p>
      <w:pPr>
        <w:spacing w:before="240" w:after="240" w:line="360" w:lineRule="auto"/>
        <w:ind w:firstLine="0"/>
        <w:jc w:val="center"/>
        <w:tabs>
          <w:tab w:val="right" w:pos="9072" w:leader="none"/>
        </w:tabs>
      </w:pPr>
      <w:r>
        <w:rPr>
          <w:rFonts w:ascii="Times New Roman" w:hAnsi="Times New Roman" w:eastAsia="MS Mincho"/>
          <w:b w:val="0"/>
          <w:i/>
          <w:sz w:val="24"/>
        </w:rPr>
        <w:t>log K</w:t>
      </w:r>
      <w:r>
        <w:rPr>
          <w:rFonts w:ascii="Times New Roman" w:hAnsi="Times New Roman" w:eastAsia="MS Mincho"/>
          <w:b w:val="0"/>
          <w:i/>
          <w:sz w:val="24"/>
          <w:vertAlign w:val="subscript"/>
        </w:rPr>
        <w:t>P</w:t>
      </w:r>
      <w:r>
        <w:rPr>
          <w:rFonts w:ascii="Times New Roman" w:hAnsi="Times New Roman" w:eastAsia="MS Mincho"/>
          <w:b w:val="0"/>
          <w:i/>
          <w:sz w:val="24"/>
        </w:rPr>
        <w:t xml:space="preserve">IM(t) = </w:t>
      </w:r>
      <w:r>
        <w:rPr>
          <w:rFonts w:ascii="Times New Roman" w:hAnsi="Times New Roman" w:eastAsia="MS Mincho"/>
          <w:b w:val="0"/>
          <w:i/>
          <w:sz w:val="24"/>
        </w:rPr>
        <w:t>ρ</w:t>
      </w:r>
      <w:r>
        <w:rPr>
          <w:rFonts w:ascii="Times New Roman" w:hAnsi="Times New Roman" w:eastAsia="MS Mincho"/>
          <w:b w:val="0"/>
          <w:i/>
          <w:sz w:val="24"/>
        </w:rPr>
        <w:t xml:space="preserve">₁ + </w:t>
      </w:r>
      <w:r>
        <w:rPr>
          <w:rFonts w:ascii="Times New Roman" w:hAnsi="Times New Roman" w:eastAsia="MS Mincho"/>
          <w:b w:val="0"/>
          <w:i/>
          <w:sz w:val="24"/>
        </w:rPr>
        <w:t>ρ</w:t>
      </w:r>
      <w:r>
        <w:rPr>
          <w:rFonts w:ascii="Times New Roman" w:hAnsi="Times New Roman" w:eastAsia="MS Mincho"/>
          <w:b w:val="0"/>
          <w:i/>
          <w:sz w:val="24"/>
        </w:rPr>
        <w:t>₂ · log K</w:t>
      </w:r>
      <w:r>
        <w:rPr>
          <w:rFonts w:ascii="Times New Roman" w:hAnsi="Times New Roman" w:eastAsia="MS Mincho"/>
          <w:b w:val="0"/>
          <w:i/>
          <w:sz w:val="24"/>
          <w:vertAlign w:val="subscript"/>
        </w:rPr>
        <w:t>C</w:t>
      </w:r>
      <w:r>
        <w:rPr>
          <w:rFonts w:ascii="Times New Roman" w:hAnsi="Times New Roman" w:eastAsia="MS Mincho"/>
          <w:b w:val="0"/>
          <w:i/>
          <w:sz w:val="24"/>
        </w:rPr>
        <w:t xml:space="preserve">WON(t) + </w:t>
      </w:r>
      <w:r>
        <w:rPr>
          <w:rFonts w:ascii="Times New Roman" w:hAnsi="Times New Roman" w:eastAsia="MS Mincho"/>
          <w:b w:val="0"/>
          <w:i/>
          <w:sz w:val="24"/>
        </w:rPr>
        <w:t>ε</w:t>
      </w:r>
      <w:r>
        <w:rPr>
          <w:rFonts w:ascii="Times New Roman" w:hAnsi="Times New Roman" w:eastAsia="MS Mincho"/>
          <w:b w:val="0"/>
          <w:i/>
          <w:sz w:val="24"/>
        </w:rPr>
        <w:t>(t),</w:t>
      </w:r>
      <w:r>
        <w:rPr>
          <w:rFonts w:ascii="Times New Roman" w:hAnsi="Times New Roman" w:eastAsia="MS Mincho"/>
          <w:b w:val="0"/>
          <w:i w:val="0"/>
          <w:sz w:val="24"/>
        </w:rPr>
        <w:tab/>
      </w:r>
      <w:r>
        <w:rPr>
          <w:rFonts w:ascii="Times New Roman" w:hAnsi="Times New Roman" w:eastAsia="MS Mincho"/>
          <w:b w:val="0"/>
          <w:i w:val="0"/>
          <w:sz w:val="24"/>
        </w:rPr>
        <w:t>(M5)</w:t>
      </w:r>
    </w:p>
    <w:p>
      <w:pPr>
        <w:spacing w:after="120" w:line="360" w:lineRule="auto"/>
        <w:ind w:firstLine="480"/>
      </w:pPr>
      <w:r>
        <w:rPr>
          <w:rFonts w:ascii="Times New Roman" w:hAnsi="Times New Roman" w:eastAsia="MS Mincho"/>
          <w:b w:val="0"/>
          <w:i w:val="0"/>
          <w:sz w:val="24"/>
        </w:rPr>
        <w:t>where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are the relational parameters estimated by OLS on the overlapping years where both series are observed and positive. The interpretation is direct: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 xml:space="preserve">₂ = 1 and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 PIM and CWON accounts are perfectly consistent — they measure the same latent stock up to a white-noise error.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₂ ≠ 1</w:t>
      </w:r>
      <w:r>
        <w:rPr>
          <w:rFonts w:ascii="Times New Roman" w:hAnsi="Times New Roman" w:eastAsia="MS Mincho"/>
          <w:b w:val="0"/>
          <w:i w:val="0"/>
          <w:sz w:val="24"/>
        </w:rPr>
        <w:t xml:space="preserve">: there is a cumulative (scale-dependent) bias in the PIM relative to CWON. If </w:t>
      </w:r>
      <w:r>
        <w:rPr>
          <w:rFonts w:ascii="Times New Roman" w:hAnsi="Times New Roman" w:eastAsia="MS Mincho"/>
          <w:b w:val="0"/>
          <w:i/>
          <w:sz w:val="24"/>
        </w:rPr>
        <w:t>ρ</w:t>
      </w:r>
      <w:r>
        <w:rPr>
          <w:rFonts w:ascii="Times New Roman" w:hAnsi="Times New Roman" w:eastAsia="MS Mincho"/>
          <w:b w:val="0"/>
          <w:i w:val="0"/>
          <w:sz w:val="24"/>
        </w:rPr>
        <w:t xml:space="preserve">₂ &lt; 1, the PIM understates the growth of capital relative to CWON; if </w:t>
      </w:r>
      <w:r>
        <w:rPr>
          <w:rFonts w:ascii="Times New Roman" w:hAnsi="Times New Roman" w:eastAsia="MS Mincho"/>
          <w:b w:val="0"/>
          <w:i/>
          <w:sz w:val="24"/>
        </w:rPr>
        <w:t>ρ</w:t>
      </w:r>
      <w:r>
        <w:rPr>
          <w:rFonts w:ascii="Times New Roman" w:hAnsi="Times New Roman" w:eastAsia="MS Mincho"/>
          <w:b w:val="0"/>
          <w:i w:val="0"/>
          <w:sz w:val="24"/>
        </w:rPr>
        <w:t>₂ &gt; 1, it overstates 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there is a level shift between the two accounts, capturing differences in base-year calibration, PPP conversions, or asset coverage.</w:t>
      </w:r>
    </w:p>
    <w:p>
      <w:pPr>
        <w:spacing w:after="120" w:line="360" w:lineRule="auto"/>
        <w:ind w:firstLine="480"/>
      </w:pPr>
      <w:r>
        <w:rPr>
          <w:rFonts w:ascii="Times New Roman" w:hAnsi="Times New Roman" w:eastAsia="MS Mincho"/>
          <w:b w:val="0"/>
          <w:i w:val="0"/>
          <w:sz w:val="24"/>
        </w:rPr>
        <w:t xml:space="preserve">The novelty is threefold. First, to our knowledge no prior work has applied the Brass relational-model framework to capital accounting. Second, the RPIM does not treat CWON as "truth" — it parameterises the </w:t>
      </w:r>
      <w:r>
        <w:rPr>
          <w:rFonts w:ascii="Times New Roman" w:hAnsi="Times New Roman" w:eastAsia="MS Mincho"/>
          <w:b w:val="0"/>
          <w:i/>
          <w:sz w:val="24"/>
        </w:rPr>
        <w:t>relationship</w:t>
      </w:r>
      <w:r>
        <w:rPr>
          <w:rFonts w:ascii="Times New Roman" w:hAnsi="Times New Roman" w:eastAsia="MS Mincho"/>
          <w:b w:val="0"/>
          <w:i w:val="0"/>
          <w:sz w:val="24"/>
        </w:rPr>
        <w:t xml:space="preserve"> between two independent estimates of the same latent stock, making systematic biases visible and quantifiable. Third, the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can be computed under each model specification (M0 through M4), so improvement in </w:t>
      </w:r>
      <w:r>
        <w:rPr>
          <w:rFonts w:ascii="Times New Roman" w:hAnsi="Times New Roman" w:eastAsia="MS Mincho"/>
          <w:b w:val="0"/>
          <w:i/>
          <w:sz w:val="24"/>
        </w:rPr>
        <w:t>ρ</w:t>
      </w:r>
      <w:r>
        <w:rPr>
          <w:rFonts w:ascii="Times New Roman" w:hAnsi="Times New Roman" w:eastAsia="MS Mincho"/>
          <w:b w:val="0"/>
          <w:i w:val="0"/>
          <w:sz w:val="24"/>
        </w:rPr>
        <w:t>₂ toward unity serves as an independent check on whether the tempo and intangible corrections actually bring the two accounts closer together.</w:t>
      </w:r>
    </w:p>
    <w:p>
      <w:pPr>
        <w:spacing w:before="360" w:after="120" w:line="360" w:lineRule="auto"/>
      </w:pPr>
      <w:r>
        <w:rPr>
          <w:rFonts w:ascii="Times New Roman" w:hAnsi="Times New Roman" w:eastAsia="MS Mincho"/>
          <w:b/>
          <w:i w:val="0"/>
          <w:sz w:val="28"/>
        </w:rPr>
        <w:t>4 Data and methods</w:t>
      </w:r>
    </w:p>
    <w:p>
      <w:pPr>
        <w:spacing w:before="360" w:after="120" w:line="360" w:lineRule="auto"/>
      </w:pPr>
      <w:r>
        <w:rPr>
          <w:rFonts w:ascii="Times New Roman" w:hAnsi="Times New Roman" w:eastAsia="MS Mincho"/>
          <w:b/>
          <w:i w:val="0"/>
          <w:sz w:val="24"/>
        </w:rPr>
        <w:t>4.1 Data</w:t>
      </w:r>
    </w:p>
    <w:p>
      <w:pPr>
        <w:spacing w:after="120" w:line="360" w:lineRule="auto"/>
        <w:ind w:firstLine="480"/>
      </w:pPr>
      <w:r>
        <w:rPr>
          <w:rFonts w:ascii="Times New Roman" w:hAnsi="Times New Roman" w:eastAsia="MS Mincho"/>
          <w:b w:val="0"/>
          <w:i w:val="0"/>
          <w:sz w:val="24"/>
        </w:rPr>
        <w:t xml:space="preserve">We use </w:t>
      </w:r>
      <w:r>
        <w:rPr>
          <w:rFonts w:ascii="Times New Roman" w:hAnsi="Times New Roman" w:eastAsia="MS Mincho"/>
          <w:b/>
          <w:i w:val="0"/>
          <w:sz w:val="24"/>
        </w:rPr>
        <w:t>Penn World Table 10.01</w:t>
      </w:r>
      <w:r>
        <w:rPr>
          <w:rFonts w:ascii="Times New Roman" w:hAnsi="Times New Roman" w:eastAsia="MS Mincho"/>
          <w:b w:val="0"/>
          <w:i w:val="0"/>
          <w:sz w:val="24"/>
        </w:rPr>
        <w:t xml:space="preserve"> (Feenstra, Inklaar, and Timmer, 2015) for real GDP output (</w:t>
      </w:r>
      <w:r>
        <w:rPr>
          <w:rFonts w:ascii="Times New Roman" w:hAnsi="Times New Roman" w:eastAsia="MS Mincho"/>
          <w:b w:val="0"/>
          <w:i/>
          <w:sz w:val="24"/>
        </w:rPr>
        <w:t>rgdpna</w:t>
      </w:r>
      <w:r>
        <w:rPr>
          <w:rFonts w:ascii="Times New Roman" w:hAnsi="Times New Roman" w:eastAsia="MS Mincho"/>
          <w:b w:val="0"/>
          <w:i w:val="0"/>
          <w:sz w:val="24"/>
        </w:rPr>
        <w:t>), tangible capital stock (</w:t>
      </w:r>
      <w:r>
        <w:rPr>
          <w:rFonts w:ascii="Times New Roman" w:hAnsi="Times New Roman" w:eastAsia="MS Mincho"/>
          <w:b w:val="0"/>
          <w:i/>
          <w:sz w:val="24"/>
        </w:rPr>
        <w:t>rnna</w:t>
      </w:r>
      <w:r>
        <w:rPr>
          <w:rFonts w:ascii="Times New Roman" w:hAnsi="Times New Roman" w:eastAsia="MS Mincho"/>
          <w:b w:val="0"/>
          <w:i w:val="0"/>
          <w:sz w:val="24"/>
        </w:rPr>
        <w:t>), investment 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depreciation (</w:t>
      </w:r>
      <w:r>
        <w:rPr>
          <w:rFonts w:ascii="Times New Roman" w:hAnsi="Times New Roman" w:eastAsia="MS Mincho"/>
          <w:b w:val="0"/>
          <w:i/>
          <w:sz w:val="24"/>
        </w:rPr>
        <w:t>delta</w:t>
      </w:r>
      <w:r>
        <w:rPr>
          <w:rFonts w:ascii="Times New Roman" w:hAnsi="Times New Roman" w:eastAsia="MS Mincho"/>
          <w:b w:val="0"/>
          <w:i w:val="0"/>
          <w:sz w:val="24"/>
        </w:rPr>
        <w:t>), employment (</w:t>
      </w:r>
      <w:r>
        <w:rPr>
          <w:rFonts w:ascii="Times New Roman" w:hAnsi="Times New Roman" w:eastAsia="MS Mincho"/>
          <w:b w:val="0"/>
          <w:i/>
          <w:sz w:val="24"/>
        </w:rPr>
        <w:t>emp</w:t>
      </w:r>
      <w:r>
        <w:rPr>
          <w:rFonts w:ascii="Times New Roman" w:hAnsi="Times New Roman" w:eastAsia="MS Mincho"/>
          <w:b w:val="0"/>
          <w:i w:val="0"/>
          <w:sz w:val="24"/>
        </w:rPr>
        <w:t>), average hours (</w:t>
      </w:r>
      <w:r>
        <w:rPr>
          <w:rFonts w:ascii="Times New Roman" w:hAnsi="Times New Roman" w:eastAsia="MS Mincho"/>
          <w:b w:val="0"/>
          <w:i/>
          <w:sz w:val="24"/>
        </w:rPr>
        <w:t>avh</w:t>
      </w:r>
      <w:r>
        <w:rPr>
          <w:rFonts w:ascii="Times New Roman" w:hAnsi="Times New Roman" w:eastAsia="MS Mincho"/>
          <w:b w:val="0"/>
          <w:i w:val="0"/>
          <w:sz w:val="24"/>
        </w:rPr>
        <w:t>), human-capital index (</w:t>
      </w:r>
      <w:r>
        <w:rPr>
          <w:rFonts w:ascii="Times New Roman" w:hAnsi="Times New Roman" w:eastAsia="MS Mincho"/>
          <w:b w:val="0"/>
          <w:i/>
          <w:sz w:val="24"/>
        </w:rPr>
        <w:t>hc</w:t>
      </w:r>
      <w:r>
        <w:rPr>
          <w:rFonts w:ascii="Times New Roman" w:hAnsi="Times New Roman" w:eastAsia="MS Mincho"/>
          <w:b w:val="0"/>
          <w:i w:val="0"/>
          <w:sz w:val="24"/>
        </w:rPr>
        <w:t>), and labour share (</w:t>
      </w:r>
      <w:r>
        <w:rPr>
          <w:rFonts w:ascii="Times New Roman" w:hAnsi="Times New Roman" w:eastAsia="MS Mincho"/>
          <w:b w:val="0"/>
          <w:i/>
          <w:sz w:val="24"/>
        </w:rPr>
        <w:t>labsh</w:t>
      </w:r>
      <w:r>
        <w:rPr>
          <w:rFonts w:ascii="Times New Roman" w:hAnsi="Times New Roman" w:eastAsia="MS Mincho"/>
          <w:b w:val="0"/>
          <w:i w:val="0"/>
          <w:sz w:val="24"/>
        </w:rPr>
        <w:t xml:space="preserve">). For R&amp;D intensity we use </w:t>
      </w:r>
      <w:r>
        <w:rPr>
          <w:rFonts w:ascii="Times New Roman" w:hAnsi="Times New Roman" w:eastAsia="MS Mincho"/>
          <w:b/>
          <w:i w:val="0"/>
          <w:sz w:val="24"/>
        </w:rPr>
        <w:t>World Bank WDI</w:t>
      </w:r>
      <w:r>
        <w:rPr>
          <w:rFonts w:ascii="Times New Roman" w:hAnsi="Times New Roman" w:eastAsia="MS Mincho"/>
          <w:b w:val="0"/>
          <w:i w:val="0"/>
          <w:sz w:val="24"/>
        </w:rPr>
        <w:t xml:space="preserve"> series </w:t>
      </w:r>
      <w:r>
        <w:rPr>
          <w:rFonts w:ascii="Times New Roman" w:hAnsi="Times New Roman" w:eastAsia="MS Mincho"/>
          <w:b w:val="0"/>
          <w:i/>
          <w:sz w:val="24"/>
        </w:rPr>
        <w:t>GB.XPD.RSDV.GD.ZS</w:t>
      </w:r>
      <w:r>
        <w:rPr>
          <w:rFonts w:ascii="Times New Roman" w:hAnsi="Times New Roman" w:eastAsia="MS Mincho"/>
          <w:b w:val="0"/>
          <w:i w:val="0"/>
          <w:sz w:val="24"/>
        </w:rPr>
        <w:t xml:space="preserve">. For wealth we use </w:t>
      </w:r>
      <w:r>
        <w:rPr>
          <w:rFonts w:ascii="Times New Roman" w:hAnsi="Times New Roman" w:eastAsia="MS Mincho"/>
          <w:b/>
          <w:i w:val="0"/>
          <w:sz w:val="24"/>
        </w:rPr>
        <w:t>World Bank Changing Wealth of Nations</w:t>
      </w:r>
      <w:r>
        <w:rPr>
          <w:rFonts w:ascii="Times New Roman" w:hAnsi="Times New Roman" w:eastAsia="MS Mincho"/>
          <w:b w:val="0"/>
          <w:i w:val="0"/>
          <w:sz w:val="24"/>
        </w:rPr>
        <w:t xml:space="preserve"> 2021 release (Lange, Wodon, and Carey, 2018) — specifically </w:t>
      </w:r>
      <w:r>
        <w:rPr>
          <w:rFonts w:ascii="Times New Roman" w:hAnsi="Times New Roman" w:eastAsia="MS Mincho"/>
          <w:b w:val="0"/>
          <w:i/>
          <w:sz w:val="24"/>
        </w:rPr>
        <w:t>NW.PCA.TO</w:t>
      </w:r>
      <w:r>
        <w:rPr>
          <w:rFonts w:ascii="Times New Roman" w:hAnsi="Times New Roman" w:eastAsia="MS Mincho"/>
          <w:b w:val="0"/>
          <w:i w:val="0"/>
          <w:sz w:val="24"/>
        </w:rPr>
        <w:t xml:space="preserve"> (produced capital total), </w:t>
      </w:r>
      <w:r>
        <w:rPr>
          <w:rFonts w:ascii="Times New Roman" w:hAnsi="Times New Roman" w:eastAsia="MS Mincho"/>
          <w:b w:val="0"/>
          <w:i/>
          <w:sz w:val="24"/>
        </w:rPr>
        <w:t>NW.HCA.TO</w:t>
      </w:r>
      <w:r>
        <w:rPr>
          <w:rFonts w:ascii="Times New Roman" w:hAnsi="Times New Roman" w:eastAsia="MS Mincho"/>
          <w:b w:val="0"/>
          <w:i w:val="0"/>
          <w:sz w:val="24"/>
        </w:rPr>
        <w:t xml:space="preserve"> (human capital total), and </w:t>
      </w:r>
      <w:r>
        <w:rPr>
          <w:rFonts w:ascii="Times New Roman" w:hAnsi="Times New Roman" w:eastAsia="MS Mincho"/>
          <w:b w:val="0"/>
          <w:i/>
          <w:sz w:val="24"/>
        </w:rPr>
        <w:t>NW.TOW.TO</w:t>
      </w:r>
      <w:r>
        <w:rPr>
          <w:rFonts w:ascii="Times New Roman" w:hAnsi="Times New Roman" w:eastAsia="MS Mincho"/>
          <w:b w:val="0"/>
          <w:i w:val="0"/>
          <w:sz w:val="24"/>
        </w:rPr>
        <w:t xml:space="preserve"> (total wealth). For the observable-tempo construction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we use </w:t>
      </w:r>
      <w:r>
        <w:rPr>
          <w:rFonts w:ascii="Times New Roman" w:hAnsi="Times New Roman" w:eastAsia="MS Mincho"/>
          <w:b/>
          <w:i w:val="0"/>
          <w:sz w:val="24"/>
        </w:rPr>
        <w:t>OECD gross fixed capital formation by asset type</w:t>
      </w:r>
      <w:r>
        <w:rPr>
          <w:rFonts w:ascii="Times New Roman" w:hAnsi="Times New Roman" w:eastAsia="MS Mincho"/>
          <w:b w:val="0"/>
          <w:i w:val="0"/>
          <w:sz w:val="24"/>
        </w:rPr>
        <w:t xml:space="preserve"> (OECD.Stat, SNA Table 8A), which reports investment broken down by asset category (dwellings, other buildings, transport equipment, ICT equipment, other machinery, intellectual property products) for all OECD member states.</w:t>
      </w:r>
    </w:p>
    <w:p>
      <w:pPr>
        <w:spacing w:after="120" w:line="36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360" w:lineRule="auto"/>
      </w:pPr>
      <w:r>
        <w:rPr>
          <w:rFonts w:ascii="Times New Roman" w:hAnsi="Times New Roman" w:eastAsia="MS Mincho"/>
          <w:b/>
          <w:i w:val="0"/>
          <w:sz w:val="24"/>
        </w:rPr>
        <w:t>4.2 Models M0–M4 and M_obs</w:t>
      </w:r>
    </w:p>
    <w:p>
      <w:pPr>
        <w:spacing w:after="120" w:line="360" w:lineRule="auto"/>
        <w:ind w:firstLine="480"/>
      </w:pPr>
      <w:r>
        <w:rPr>
          <w:rFonts w:ascii="Times New Roman" w:hAnsi="Times New Roman" w:eastAsia="MS Mincho"/>
          <w:b w:val="0"/>
          <w:i w:val="0"/>
          <w:sz w:val="24"/>
        </w:rPr>
        <w:t>We estimate six production-function specifications:</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M0</w:t>
      </w:r>
      <w:r>
        <w:rPr>
          <w:rFonts w:ascii="Times New Roman" w:hAnsi="Times New Roman" w:eastAsia="MS Mincho"/>
          <w:b w:val="0"/>
          <w:i w:val="0"/>
          <w:sz w:val="24"/>
        </w:rPr>
        <w:t xml:space="preserve">: Solow baseline,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as M0 above, </w:t>
      </w:r>
      <w:r>
        <w:rPr>
          <w:rFonts w:ascii="Times New Roman" w:hAnsi="Times New Roman" w:eastAsia="MS Mincho"/>
          <w:b w:val="0"/>
          <w:i/>
          <w:sz w:val="24"/>
        </w:rPr>
        <w:t>β</w:t>
      </w:r>
      <w:r>
        <w:rPr>
          <w:rFonts w:ascii="Times New Roman" w:hAnsi="Times New Roman" w:eastAsia="MS Mincho"/>
          <w:b w:val="0"/>
          <w:i w:val="0"/>
          <w:sz w:val="24"/>
        </w:rPr>
        <w:t xml:space="preserve"> = 0.</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M1</w:t>
      </w:r>
      <w:r>
        <w:rPr>
          <w:rFonts w:ascii="Times New Roman" w:hAnsi="Times New Roman" w:eastAsia="MS Mincho"/>
          <w:b w:val="0"/>
          <w:i w:val="0"/>
          <w:sz w:val="24"/>
        </w:rPr>
        <w:t xml:space="preserve">: Constant-lag PIM (M1) with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val="0"/>
          <w:sz w:val="24"/>
        </w:rPr>
        <w:t>* estimated per country by minimising Test B (growth-rate RMSE).</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M2</w:t>
      </w:r>
      <w:r>
        <w:rPr>
          <w:rFonts w:ascii="Times New Roman" w:hAnsi="Times New Roman" w:eastAsia="MS Mincho"/>
          <w:b w:val="0"/>
          <w:i w:val="0"/>
          <w:sz w:val="24"/>
        </w:rPr>
        <w:t xml:space="preserve">: Time-varying lag </w:t>
      </w:r>
      <w:r>
        <w:rPr>
          <w:rFonts w:ascii="Times New Roman" w:hAnsi="Times New Roman" w:eastAsia="MS Mincho"/>
          <w:b w:val="0"/>
          <w:i/>
          <w:sz w:val="24"/>
        </w:rPr>
        <w:t>μ</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val="0"/>
          <w:sz w:val="24"/>
        </w:rPr>
        <w:t xml:space="preserve">₀ + </w:t>
      </w:r>
      <w:r>
        <w:rPr>
          <w:rFonts w:ascii="Times New Roman" w:hAnsi="Times New Roman" w:eastAsia="MS Mincho"/>
          <w:b w:val="0"/>
          <w:i/>
          <w:sz w:val="24"/>
        </w:rPr>
        <w:t>μ</w:t>
      </w:r>
      <w:r>
        <w:rPr>
          <w:rFonts w:ascii="Times New Roman" w:hAnsi="Times New Roman" w:eastAsia="MS Mincho"/>
          <w:b w:val="0"/>
          <w:i w:val="0"/>
          <w:sz w:val="24"/>
        </w:rPr>
        <w:t>₁·(t − t₀) from (M2).</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M3</w:t>
      </w:r>
      <w:r>
        <w:rPr>
          <w:rFonts w:ascii="Times New Roman" w:hAnsi="Times New Roman" w:eastAsia="MS Mincho"/>
          <w:b w:val="0"/>
          <w:i w:val="0"/>
          <w:sz w:val="24"/>
        </w:rPr>
        <w:t>: M0 tangible stock augmented with intangible stock 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estimated by growth-rate fit.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M4</w:t>
      </w:r>
      <w:r>
        <w:rPr>
          <w:rFonts w:ascii="Times New Roman" w:hAnsi="Times New Roman" w:eastAsia="MS Mincho"/>
          <w:b w:val="0"/>
          <w:i w:val="0"/>
          <w:sz w:val="24"/>
        </w:rPr>
        <w:t>: Joint identification (Sect. 3.3), minimising (2) over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simultaneously against CWON.</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w:t>
      </w:r>
      <w:r>
        <w:rPr>
          <w:rFonts w:ascii="Times New Roman" w:hAnsi="Times New Roman" w:eastAsia="MS Mincho"/>
          <w:b/>
          <w:i/>
          <w:sz w:val="24"/>
          <w:vertAlign w:val="subscript"/>
        </w:rPr>
        <w:t>o</w:t>
      </w:r>
      <w:r>
        <w:rPr>
          <w:rFonts w:ascii="Times New Roman" w:hAnsi="Times New Roman" w:eastAsia="MS Mincho"/>
          <w:b/>
          <w:i w:val="0"/>
          <w:sz w:val="24"/>
        </w:rPr>
        <w:t>bs</w:t>
      </w:r>
      <w:r>
        <w:rPr>
          <w:rFonts w:ascii="Times New Roman" w:hAnsi="Times New Roman" w:eastAsia="MS Mincho"/>
          <w:b w:val="0"/>
          <w:i w:val="0"/>
          <w:sz w:val="24"/>
        </w:rPr>
        <w:t xml:space="preserve">: Observable tempo, where </w:t>
      </w:r>
      <w:r>
        <w:rPr>
          <w:rFonts w:ascii="Times New Roman" w:hAnsi="Times New Roman" w:eastAsia="MS Mincho"/>
          <w:b w:val="0"/>
          <w:i/>
          <w:sz w:val="24"/>
        </w:rPr>
        <w:t>μ</w:t>
      </w:r>
      <w:r>
        <w:rPr>
          <w:rFonts w:ascii="Times New Roman" w:hAnsi="Times New Roman" w:eastAsia="MS Mincho"/>
          <w:b w:val="0"/>
          <w:i w:val="0"/>
          <w:sz w:val="24"/>
        </w:rPr>
        <w:t xml:space="preserve">(t) is constructed directly from OECD gross fixed capital formation (GFCF) by asset type. For each country-year, the share of investment in each asset category (dwellings, other buildings, transport equipment, ICT equipment, machinery, intellectual property products) is computed from OECD GFCF data, and </w:t>
      </w:r>
      <w:r>
        <w:rPr>
          <w:rFonts w:ascii="Times New Roman" w:hAnsi="Times New Roman" w:eastAsia="MS Mincho"/>
          <w:b w:val="0"/>
          <w:i/>
          <w:sz w:val="24"/>
        </w:rPr>
        <w:t>μ</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 </w:t>
      </w:r>
      <w:r>
        <w:rPr>
          <w:rFonts w:ascii="Times New Roman" w:hAnsi="Times New Roman" w:eastAsia="MS Mincho"/>
          <w:b w:val="0"/>
          <w:i/>
          <w:sz w:val="24"/>
        </w:rPr>
        <w:t>Σ</w:t>
      </w:r>
      <w:r>
        <w:rPr>
          <w:rFonts w:ascii="Times New Roman" w:hAnsi="Times New Roman" w:eastAsia="MS Mincho"/>
          <w:b w:val="0"/>
          <w:i/>
          <w:sz w:val="24"/>
          <w:vertAlign w:val="subscript"/>
        </w:rPr>
        <w:t>a</w:t>
      </w:r>
      <w:r>
        <w:rPr>
          <w:rFonts w:ascii="Times New Roman" w:hAnsi="Times New Roman" w:eastAsia="MS Mincho"/>
          <w:b w:val="0"/>
          <w:i w:val="0"/>
          <w:sz w:val="24"/>
        </w:rPr>
        <w:t xml:space="preserve"> s</w:t>
      </w:r>
      <w:r>
        <w:rPr>
          <w:rFonts w:ascii="Times New Roman" w:hAnsi="Times New Roman" w:eastAsia="MS Mincho"/>
          <w:b w:val="0"/>
          <w:i/>
          <w:sz w:val="24"/>
          <w:vertAlign w:val="subscript"/>
        </w:rPr>
        <w:t>a</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sz w:val="24"/>
          <w:vertAlign w:val="subscript"/>
        </w:rPr>
        <w:t>a</w:t>
      </w:r>
      <w:r>
        <w:rPr>
          <w:rFonts w:ascii="Times New Roman" w:hAnsi="Times New Roman" w:eastAsia="MS Mincho"/>
          <w:b w:val="0"/>
          <w:i w:val="0"/>
          <w:sz w:val="24"/>
        </w:rPr>
        <w:t>, where s</w:t>
      </w:r>
      <w:r>
        <w:rPr>
          <w:rFonts w:ascii="Times New Roman" w:hAnsi="Times New Roman" w:eastAsia="MS Mincho"/>
          <w:b w:val="0"/>
          <w:i/>
          <w:sz w:val="24"/>
          <w:vertAlign w:val="subscript"/>
        </w:rPr>
        <w:t>a</w:t>
      </w:r>
      <w:r>
        <w:rPr>
          <w:rFonts w:ascii="Times New Roman" w:hAnsi="Times New Roman" w:eastAsia="MS Mincho"/>
          <w:b w:val="0"/>
          <w:i w:val="0"/>
          <w:sz w:val="24"/>
        </w:rPr>
        <w:t xml:space="preserve">(t) is the share of asset </w:t>
      </w:r>
      <w:r>
        <w:rPr>
          <w:rFonts w:ascii="Times New Roman" w:hAnsi="Times New Roman" w:eastAsia="MS Mincho"/>
          <w:b w:val="0"/>
          <w:i/>
          <w:sz w:val="24"/>
        </w:rPr>
        <w:t>a</w:t>
      </w:r>
      <w:r>
        <w:rPr>
          <w:rFonts w:ascii="Times New Roman" w:hAnsi="Times New Roman" w:eastAsia="MS Mincho"/>
          <w:b w:val="0"/>
          <w:i w:val="0"/>
          <w:sz w:val="24"/>
        </w:rPr>
        <w:t xml:space="preserve"> in total GFCF and </w:t>
      </w:r>
      <w:r>
        <w:rPr>
          <w:rFonts w:ascii="Times New Roman" w:hAnsi="Times New Roman" w:eastAsia="MS Mincho"/>
          <w:b w:val="0"/>
          <w:i/>
          <w:sz w:val="24"/>
        </w:rPr>
        <w:t>μ</w:t>
      </w:r>
      <w:r>
        <w:rPr>
          <w:rFonts w:ascii="Times New Roman" w:hAnsi="Times New Roman" w:eastAsia="MS Mincho"/>
          <w:b w:val="0"/>
          <w:i/>
          <w:sz w:val="24"/>
          <w:vertAlign w:val="subscript"/>
        </w:rPr>
        <w:t>a</w:t>
      </w:r>
      <w:r>
        <w:rPr>
          <w:rFonts w:ascii="Times New Roman" w:hAnsi="Times New Roman" w:eastAsia="MS Mincho"/>
          <w:b w:val="0"/>
          <w:i w:val="0"/>
          <w:sz w:val="24"/>
        </w:rPr>
        <w:t xml:space="preserve"> is the literature-based gestation lag for asset </w:t>
      </w:r>
      <w:r>
        <w:rPr>
          <w:rFonts w:ascii="Times New Roman" w:hAnsi="Times New Roman" w:eastAsia="MS Mincho"/>
          <w:b w:val="0"/>
          <w:i/>
          <w:sz w:val="24"/>
        </w:rPr>
        <w:t>a</w:t>
      </w:r>
      <w:r>
        <w:rPr>
          <w:rFonts w:ascii="Times New Roman" w:hAnsi="Times New Roman" w:eastAsia="MS Mincho"/>
          <w:b w:val="0"/>
          <w:i w:val="0"/>
          <w:sz w:val="24"/>
        </w:rPr>
        <w:t xml:space="preserve"> (dwellings and other buildings: 2.0 years; transport equipment: 0.5 years; ICT equipment: 0.3 years; machinery: 0.8 years; intellectual property products: 3.0 years).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has </w:t>
      </w:r>
      <w:r>
        <w:rPr>
          <w:rFonts w:ascii="Times New Roman" w:hAnsi="Times New Roman" w:eastAsia="MS Mincho"/>
          <w:b/>
          <w:i w:val="0"/>
          <w:sz w:val="24"/>
        </w:rPr>
        <w:t>zero free parameters</w:t>
      </w:r>
      <w:r>
        <w:rPr>
          <w:rFonts w:ascii="Times New Roman" w:hAnsi="Times New Roman" w:eastAsia="MS Mincho"/>
          <w:b w:val="0"/>
          <w:i w:val="0"/>
          <w:sz w:val="24"/>
        </w:rPr>
        <w:t>: the capital stock K</w:t>
      </w:r>
      <w:r>
        <w:rPr>
          <w:rFonts w:ascii="Times New Roman" w:hAnsi="Times New Roman" w:eastAsia="MS Mincho"/>
          <w:b w:val="0"/>
          <w:i/>
          <w:sz w:val="24"/>
          <w:vertAlign w:val="subscript"/>
        </w:rPr>
        <w:t>o</w:t>
      </w:r>
      <w:r>
        <w:rPr>
          <w:rFonts w:ascii="Times New Roman" w:hAnsi="Times New Roman" w:eastAsia="MS Mincho"/>
          <w:b w:val="0"/>
          <w:i w:val="0"/>
          <w:sz w:val="24"/>
        </w:rPr>
        <w:t>bs(t) is determined entirely by observable investment composition and published gestation lags. This makes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immune to the critique that </w:t>
      </w:r>
      <w:r>
        <w:rPr>
          <w:rFonts w:ascii="Times New Roman" w:hAnsi="Times New Roman" w:eastAsia="MS Mincho"/>
          <w:b w:val="0"/>
          <w:i/>
          <w:sz w:val="24"/>
        </w:rPr>
        <w:t>μ</w:t>
      </w:r>
      <w:r>
        <w:rPr>
          <w:rFonts w:ascii="Times New Roman" w:hAnsi="Times New Roman" w:eastAsia="MS Mincho"/>
          <w:b w:val="0"/>
          <w:i w:val="0"/>
          <w:sz w:val="24"/>
        </w:rPr>
        <w:t xml:space="preserve"> is a fitting parameter, since nothing is fitted.</w:t>
      </w:r>
    </w:p>
    <w:p>
      <w:pPr>
        <w:spacing w:after="120" w:line="36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A (level MAPE)</w:t>
      </w:r>
      <w:r>
        <w:rPr>
          <w:rFonts w:ascii="Times New Roman" w:hAnsi="Times New Roman" w:eastAsia="MS Mincho"/>
          <w:b w:val="0"/>
          <w:i w:val="0"/>
          <w:sz w:val="24"/>
        </w:rPr>
        <w:t>: mean absolute percentage error of fitted log-GDP against observed log-GDP, decomposing away decade-mean TFP.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B (growth RMSE)</w:t>
      </w:r>
      <w:r>
        <w:rPr>
          <w:rFonts w:ascii="Times New Roman" w:hAnsi="Times New Roman" w:eastAsia="MS Mincho"/>
          <w:b w:val="0"/>
          <w:i w:val="0"/>
          <w:sz w:val="24"/>
        </w:rPr>
        <w:t>: root-mean-squared error of 1-year log-GDP differences, in percentage points.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Out-of-sample MAPE</w:t>
      </w:r>
      <w:r>
        <w:rPr>
          <w:rFonts w:ascii="Times New Roman" w:hAnsi="Times New Roman" w:eastAsia="MS Mincho"/>
          <w:b w:val="0"/>
          <w:i w:val="0"/>
          <w:sz w:val="24"/>
        </w:rPr>
        <w:t>: parameters fit on 1970–2014, level forecasts produced for 2015–2019 with a training-window TFP projection. Lower is better.</w:t>
      </w:r>
    </w:p>
    <w:p>
      <w:pPr>
        <w:spacing w:before="360" w:after="120" w:line="360" w:lineRule="auto"/>
      </w:pPr>
      <w:r>
        <w:rPr>
          <w:rFonts w:ascii="Times New Roman" w:hAnsi="Times New Roman" w:eastAsia="MS Mincho"/>
          <w:b/>
          <w:i w:val="0"/>
          <w:sz w:val="24"/>
        </w:rPr>
        <w:t>4.3 Estimation protocol and grid search</w:t>
      </w:r>
    </w:p>
    <w:p>
      <w:pPr>
        <w:spacing w:after="120" w:line="360" w:lineRule="auto"/>
        <w:ind w:firstLine="480"/>
      </w:pPr>
      <w:r>
        <w:rPr>
          <w:rFonts w:ascii="Times New Roman" w:hAnsi="Times New Roman" w:eastAsia="MS Mincho"/>
          <w:b w:val="0"/>
          <w:i w:val="0"/>
          <w:sz w:val="24"/>
        </w:rPr>
        <w:t xml:space="preserve">All five models are estimated by grid search, not gradient optimisation, for three reasons. First, the objective function (2) has known non-convexities induced by the geometric lag kernel, especially when </w:t>
      </w:r>
      <w:r>
        <w:rPr>
          <w:rFonts w:ascii="Times New Roman" w:hAnsi="Times New Roman" w:eastAsia="MS Mincho"/>
          <w:b w:val="0"/>
          <w:i/>
          <w:sz w:val="24"/>
        </w:rPr>
        <w:t>μ</w:t>
      </w:r>
      <w:r>
        <w:rPr>
          <w:rFonts w:ascii="Times New Roman" w:hAnsi="Times New Roman" w:eastAsia="MS Mincho"/>
          <w:b w:val="0"/>
          <w:i w:val="0"/>
          <w:sz w:val="24"/>
        </w:rPr>
        <w:t xml:space="preserve">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w:t>
      </w:r>
      <w:r>
        <w:rPr>
          <w:rFonts w:ascii="Times New Roman" w:hAnsi="Times New Roman" w:eastAsia="MS Mincho"/>
          <w:b w:val="0"/>
          <w:i/>
          <w:sz w:val="24"/>
        </w:rPr>
        <w:t>μ</w:t>
      </w:r>
      <w:r>
        <w:rPr>
          <w:rFonts w:ascii="Times New Roman" w:hAnsi="Times New Roman" w:eastAsia="MS Mincho"/>
          <w:b w:val="0"/>
          <w:i w:val="0"/>
          <w:sz w:val="24"/>
        </w:rPr>
        <w:t xml:space="preserve"> grid is {0.01, 0.05, 0.10, 0.25, 0.50, 1.0, 1.5, 2.0, 3.0, 4.5, 6.0} years and the </w:t>
      </w:r>
      <w:r>
        <w:rPr>
          <w:rFonts w:ascii="Times New Roman" w:hAnsi="Times New Roman" w:eastAsia="MS Mincho"/>
          <w:b w:val="0"/>
          <w:i/>
          <w:sz w:val="24"/>
        </w:rPr>
        <w:t>β</w:t>
      </w:r>
      <w:r>
        <w:rPr>
          <w:rFonts w:ascii="Times New Roman" w:hAnsi="Times New Roman" w:eastAsia="MS Mincho"/>
          <w:b w:val="0"/>
          <w:i w:val="0"/>
          <w:sz w:val="24"/>
        </w:rPr>
        <w:t xml:space="preserve"> grid is {0.00, 0.02, 0.04, ..., 0.34}; </w:t>
      </w:r>
      <w:r>
        <w:rPr>
          <w:rFonts w:ascii="Times New Roman" w:hAnsi="Times New Roman" w:eastAsia="MS Mincho"/>
          <w:b w:val="0"/>
          <w:i/>
          <w:sz w:val="24"/>
        </w:rPr>
        <w:t>μ</w:t>
      </w:r>
      <w:r>
        <w:rPr>
          <w:rFonts w:ascii="Times New Roman" w:hAnsi="Times New Roman" w:eastAsia="MS Mincho"/>
          <w:b w:val="0"/>
          <w:i w:val="0"/>
          <w:sz w:val="24"/>
        </w:rPr>
        <w:t xml:space="preserve">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w:t>
      </w:r>
      <w:r>
        <w:rPr>
          <w:rFonts w:ascii="Times New Roman" w:hAnsi="Times New Roman" w:eastAsia="MS Mincho"/>
          <w:b w:val="0"/>
          <w:i/>
          <w:sz w:val="24"/>
        </w:rPr>
        <w:t>μ</w:t>
      </w:r>
      <w:r>
        <w:rPr>
          <w:rFonts w:ascii="Times New Roman" w:hAnsi="Times New Roman" w:eastAsia="MS Mincho"/>
          <w:b w:val="0"/>
          <w:i w:val="0"/>
          <w:sz w:val="24"/>
        </w:rPr>
        <w:t xml:space="preserve">₀ is the average lag in the base year; this choice has no effect on fit but makes </w:t>
      </w:r>
      <w:r>
        <w:rPr>
          <w:rFonts w:ascii="Times New Roman" w:hAnsi="Times New Roman" w:eastAsia="MS Mincho"/>
          <w:b w:val="0"/>
          <w:i/>
          <w:sz w:val="24"/>
        </w:rPr>
        <w:t>μ</w:t>
      </w:r>
      <w:r>
        <w:rPr>
          <w:rFonts w:ascii="Times New Roman" w:hAnsi="Times New Roman" w:eastAsia="MS Mincho"/>
          <w:b w:val="0"/>
          <w:i w:val="0"/>
          <w:sz w:val="24"/>
        </w:rPr>
        <w:t xml:space="preserve">₀ and </w:t>
      </w:r>
      <w:r>
        <w:rPr>
          <w:rFonts w:ascii="Times New Roman" w:hAnsi="Times New Roman" w:eastAsia="MS Mincho"/>
          <w:b w:val="0"/>
          <w:i/>
          <w:sz w:val="24"/>
        </w:rPr>
        <w:t>μ</w:t>
      </w:r>
      <w:r>
        <w:rPr>
          <w:rFonts w:ascii="Times New Roman" w:hAnsi="Times New Roman" w:eastAsia="MS Mincho"/>
          <w:b w:val="0"/>
          <w:i w:val="0"/>
          <w:sz w:val="24"/>
        </w:rPr>
        <w:t>₁ interpretable.</w:t>
      </w:r>
    </w:p>
    <w:p>
      <w:pPr>
        <w:spacing w:before="360" w:after="120" w:line="360" w:lineRule="auto"/>
      </w:pPr>
      <w:r>
        <w:rPr>
          <w:rFonts w:ascii="Times New Roman" w:hAnsi="Times New Roman" w:eastAsia="MS Mincho"/>
          <w:b/>
          <w:i w:val="0"/>
          <w:sz w:val="24"/>
        </w:rPr>
        <w:t>4.4 Bootstrap confidence intervals</w:t>
      </w:r>
    </w:p>
    <w:p>
      <w:pPr>
        <w:spacing w:after="120" w:line="360" w:lineRule="auto"/>
        <w:ind w:firstLine="480"/>
      </w:pPr>
      <w:r>
        <w:rPr>
          <w:rFonts w:ascii="Times New Roman" w:hAnsi="Times New Roman" w:eastAsia="MS Mincho"/>
          <w:b w:val="0"/>
          <w:i w:val="0"/>
          <w:sz w:val="24"/>
        </w:rPr>
        <w:t xml:space="preserve">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a synthetic R&amp;D intensity using WDI shares; (iv) rebuild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val="0"/>
          <w:sz w:val="24"/>
        </w:rPr>
        <w:t>; (v) re-run the joint-identification grid, storing (</w:t>
      </w:r>
      <w:r>
        <w:rPr>
          <w:rFonts w:ascii="Times New Roman" w:hAnsi="Times New Roman" w:eastAsia="MS Mincho"/>
          <w:b w:val="0"/>
          <w:i/>
          <w:sz w:val="24"/>
        </w:rPr>
        <w:t>μ</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w:t>
      </w:r>
      <w:r>
        <w:rPr>
          <w:rFonts w:ascii="Times New Roman" w:hAnsi="Times New Roman" w:eastAsia="MS Mincho"/>
          <w:b w:val="0"/>
          <w:i/>
          <w:sz w:val="24"/>
        </w:rPr>
        <w:t>μ</w:t>
      </w:r>
      <w:r>
        <w:rPr>
          <w:rFonts w:ascii="Times New Roman" w:hAnsi="Times New Roman" w:eastAsia="MS Mincho"/>
          <w:b w:val="0"/>
          <w:i w:val="0"/>
          <w:sz w:val="24"/>
        </w:rPr>
        <w:t xml:space="preserve"> = 0 is still rejected for 14 countries and </w:t>
      </w:r>
      <w:r>
        <w:rPr>
          <w:rFonts w:ascii="Times New Roman" w:hAnsi="Times New Roman" w:eastAsia="MS Mincho"/>
          <w:b w:val="0"/>
          <w:i/>
          <w:sz w:val="24"/>
        </w:rPr>
        <w:t>β</w:t>
      </w:r>
      <w:r>
        <w:rPr>
          <w:rFonts w:ascii="Times New Roman" w:hAnsi="Times New Roman" w:eastAsia="MS Mincho"/>
          <w:b w:val="0"/>
          <w:i w:val="0"/>
          <w:sz w:val="24"/>
        </w:rPr>
        <w:t xml:space="preserve"> = 0 for 9 countries.</w:t>
      </w:r>
    </w:p>
    <w:p>
      <w:pPr>
        <w:spacing w:before="360" w:after="120" w:line="360" w:lineRule="auto"/>
      </w:pPr>
      <w:r>
        <w:rPr>
          <w:rFonts w:ascii="Times New Roman" w:hAnsi="Times New Roman" w:eastAsia="MS Mincho"/>
          <w:b/>
          <w:i w:val="0"/>
          <w:sz w:val="24"/>
        </w:rPr>
        <w:t>4.5 γ_price sensitivity</w:t>
      </w:r>
    </w:p>
    <w:p>
      <w:pPr>
        <w:spacing w:after="120" w:line="360" w:lineRule="auto"/>
        <w:ind w:firstLine="480"/>
      </w:pPr>
      <w:r>
        <w:rPr>
          <w:rFonts w:ascii="Times New Roman" w:hAnsi="Times New Roman" w:eastAsia="MS Mincho"/>
          <w:b w:val="0"/>
          <w:i w:val="0"/>
          <w:sz w:val="24"/>
        </w:rPr>
        <w:t xml:space="preserve">To test whether the residual PIM-CWON gap in countries such as Japan reflects an asset-price re-evaluation effect rather than a real capital gap, we re-run the comparison under five counterfactual scenarios in which CWON PCA is inflated/deflated at an annual rate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−0.02, 0, +0.02, +0.04}. A large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is not intended to be an additional estimand of the joint framework — if it were, it would enter (2) alongside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Rather, it is a diagnostic: a residual gap between the PIM account and the CWON account at a specific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value admits exactly one of three interpretations, namely (a) quantity mis-measurement in the PIM, (b) quantity mis-measurement in CWON, or (c) genuine composition change (e.g. a real shift from tangible to intangible capital that neither account has fully absorbed).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sweep helps identify (a) and (b) against (c).</w:t>
      </w:r>
    </w:p>
    <w:p>
      <w:pPr>
        <w:spacing w:before="360" w:after="120" w:line="360" w:lineRule="auto"/>
      </w:pPr>
      <w:r>
        <w:rPr>
          <w:rFonts w:ascii="Times New Roman" w:hAnsi="Times New Roman" w:eastAsia="MS Mincho"/>
          <w:b/>
          <w:i w:val="0"/>
          <w:sz w:val="28"/>
        </w:rPr>
        <w:t>5 Results</w:t>
      </w:r>
    </w:p>
    <w:p>
      <w:pPr>
        <w:spacing w:before="360" w:after="120" w:line="360" w:lineRule="auto"/>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val="0"/>
          <w:i w:val="0"/>
          <w:sz w:val="24"/>
        </w:rPr>
        <w:t xml:space="preserve">Table 2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w:t>
      </w:r>
      <w:r>
        <w:rPr>
          <w:rFonts w:ascii="Times New Roman" w:hAnsi="Times New Roman" w:eastAsia="MS Mincho"/>
          <w:b w:val="0"/>
          <w:i/>
          <w:sz w:val="24"/>
        </w:rPr>
        <w:t>μ</w:t>
      </w:r>
      <w:r>
        <w:rPr>
          <w:rFonts w:ascii="Times New Roman" w:hAnsi="Times New Roman" w:eastAsia="MS Mincho"/>
          <w:b w:val="0"/>
          <w:i w:val="0"/>
          <w:sz w:val="24"/>
        </w:rPr>
        <w:t xml:space="preserve">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w:t>
      </w:r>
      <w:r>
        <w:rPr>
          <w:rFonts w:ascii="Times New Roman" w:hAnsi="Times New Roman" w:eastAsia="MS Mincho"/>
          <w:b w:val="0"/>
          <w:i/>
          <w:sz w:val="24"/>
        </w:rPr>
        <w:t>μ</w:t>
      </w:r>
      <w:r>
        <w:rPr>
          <w:rFonts w:ascii="Times New Roman" w:hAnsi="Times New Roman" w:eastAsia="MS Mincho"/>
          <w:b w:val="0"/>
          <w:i/>
          <w:sz w:val="24"/>
        </w:rPr>
        <w:t xml:space="preserve"> across the 39 countries is highly non-degenerate. The interquartile range under M1 runs from below 0.1 years to above 1.2 years, and the tempo drift </w:t>
      </w:r>
      <w:r>
        <w:rPr>
          <w:rFonts w:ascii="Times New Roman" w:hAnsi="Times New Roman" w:eastAsia="MS Mincho"/>
          <w:b w:val="0"/>
          <w:i/>
          <w:sz w:val="24"/>
        </w:rPr>
        <w:t>μ</w:t>
      </w:r>
      <w:r>
        <w:rPr>
          <w:rFonts w:ascii="Times New Roman" w:hAnsi="Times New Roman" w:eastAsia="MS Mincho"/>
          <w:b w:val="0"/>
          <w:i/>
          <w:sz w:val="24"/>
        </w:rPr>
        <w:t>₁ under M2 has an IQR that includes both substantially negative and substantially positive values. The universal-</w:t>
      </w:r>
      <w:r>
        <w:rPr>
          <w:rFonts w:ascii="Times New Roman" w:hAnsi="Times New Roman" w:eastAsia="MS Mincho"/>
          <w:b w:val="0"/>
          <w:i/>
          <w:sz w:val="24"/>
        </w:rPr>
        <w:t>μ</w:t>
      </w:r>
      <w:r>
        <w:rPr>
          <w:rFonts w:ascii="Times New Roman" w:hAnsi="Times New Roman" w:eastAsia="MS Mincho"/>
          <w:b w:val="0"/>
          <w:i/>
          <w:sz w:val="24"/>
        </w:rPr>
        <w:t xml:space="preserve">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w:t>
      </w:r>
      <w:r>
        <w:rPr>
          <w:rFonts w:ascii="Times New Roman" w:hAnsi="Times New Roman" w:eastAsia="MS Mincho"/>
          <w:b w:val="0"/>
          <w:i/>
          <w:sz w:val="24"/>
        </w:rPr>
        <w:t>μ</w:t>
      </w:r>
      <w:r>
        <w:rPr>
          <w:rFonts w:ascii="Times New Roman" w:hAnsi="Times New Roman" w:eastAsia="MS Mincho"/>
          <w:b w:val="0"/>
          <w:i w:val="0"/>
          <w:sz w:val="24"/>
        </w:rPr>
        <w:t xml:space="preserve"> ≈ 0.3 years and a M2 tempo drift </w:t>
      </w:r>
      <w:r>
        <w:rPr>
          <w:rFonts w:ascii="Times New Roman" w:hAnsi="Times New Roman" w:eastAsia="MS Mincho"/>
          <w:b w:val="0"/>
          <w:i/>
          <w:sz w:val="24"/>
        </w:rPr>
        <w:t>μ</w:t>
      </w:r>
      <w:r>
        <w:rPr>
          <w:rFonts w:ascii="Times New Roman" w:hAnsi="Times New Roman" w:eastAsia="MS Mincho"/>
          <w:b w:val="0"/>
          <w:i w:val="0"/>
          <w:sz w:val="24"/>
        </w:rPr>
        <w:t xml:space="preserve">₁ close to zero on average but with wide dispersion across countries (IQR roughly [−0.02, +0.05]). Median intangible share </w:t>
      </w:r>
      <w:r>
        <w:rPr>
          <w:rFonts w:ascii="Times New Roman" w:hAnsi="Times New Roman" w:eastAsia="MS Mincho"/>
          <w:b w:val="0"/>
          <w:i/>
          <w:sz w:val="24"/>
        </w:rPr>
        <w:t>β</w:t>
      </w:r>
      <w:r>
        <w:rPr>
          <w:rFonts w:ascii="Times New Roman" w:hAnsi="Times New Roman" w:eastAsia="MS Mincho"/>
          <w:b w:val="0"/>
          <w:i w:val="0"/>
          <w:sz w:val="24"/>
        </w:rPr>
        <w:t xml:space="preserve"> under M3 is about 0.06 for production-only fitting and 0.06 under joint identification with CWON (M4). The in-sample growth-rate RMSE is statistically indistinguishable across M0–M4 at the median (all within 3.07–3.10 pp), confirming that the production function is close to flat in </w:t>
      </w:r>
      <w:r>
        <w:rPr>
          <w:rFonts w:ascii="Times New Roman" w:hAnsi="Times New Roman" w:eastAsia="MS Mincho"/>
          <w:b w:val="0"/>
          <w:i/>
          <w:sz w:val="24"/>
        </w:rPr>
        <w:t>μ</w:t>
      </w:r>
      <w:r>
        <w:rPr>
          <w:rFonts w:ascii="Times New Roman" w:hAnsi="Times New Roman" w:eastAsia="MS Mincho"/>
          <w:b w:val="0"/>
          <w:i w:val="0"/>
          <w:sz w:val="24"/>
        </w:rPr>
        <w:t xml:space="preserve">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360" w:lineRule="auto"/>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36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2.</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360" w:lineRule="auto"/>
        <w:ind w:firstLine="480"/>
      </w:pPr>
      <w:r>
        <w:rPr>
          <w:rFonts w:ascii="Times New Roman" w:hAnsi="Times New Roman" w:eastAsia="MS Mincho"/>
          <w:b w:val="0"/>
          <w:i w:val="0"/>
          <w:sz w:val="24"/>
        </w:rPr>
        <w:t xml:space="preserve">Figure 2 shows the out-of-sample performance. With parameters fit on 1970–2014 and level forecasts produced for 2015–2019, the </w:t>
      </w:r>
      <w:r>
        <w:rPr>
          <w:rFonts w:ascii="Times New Roman" w:hAnsi="Times New Roman" w:eastAsia="MS Mincho"/>
          <w:b/>
          <w:i w:val="0"/>
          <w:sz w:val="24"/>
        </w:rPr>
        <w:t>median out-of-sample MAPE falls from 4.60 % under the Solow baseline M0 to 3.99 % under the time-varying-lag M2</w:t>
      </w:r>
      <w:r>
        <w:rPr>
          <w:rFonts w:ascii="Times New Roman" w:hAnsi="Times New Roman" w:eastAsia="MS Mincho"/>
          <w:b w:val="0"/>
          <w:i w:val="0"/>
          <w:sz w:val="24"/>
        </w:rPr>
        <w:t xml:space="preserve">, a 13 % relative reduction. M1 (constant lag) achieves most of the gain (4.06 %), confirming that the bulk of the improvement comes from recognising that investment </w:t>
      </w:r>
      <w:r>
        <w:rPr>
          <w:rFonts w:ascii="Times New Roman" w:hAnsi="Times New Roman" w:eastAsia="MS Mincho"/>
          <w:b w:val="0"/>
          <w:i/>
          <w:sz w:val="24"/>
        </w:rPr>
        <w:t>has</w:t>
      </w:r>
      <w:r>
        <w:rPr>
          <w:rFonts w:ascii="Times New Roman" w:hAnsi="Times New Roman" w:eastAsia="MS Mincho"/>
          <w:b w:val="0"/>
          <w:i w:val="0"/>
          <w:sz w:val="24"/>
        </w:rPr>
        <w:t xml:space="preserve">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 The observable-tempo M</w:t>
      </w:r>
      <w:r>
        <w:rPr>
          <w:rFonts w:ascii="Times New Roman" w:hAnsi="Times New Roman" w:eastAsia="MS Mincho"/>
          <w:b w:val="0"/>
          <w:i/>
          <w:sz w:val="24"/>
          <w:vertAlign w:val="subscript"/>
        </w:rPr>
        <w:t>o</w:t>
      </w:r>
      <w:r>
        <w:rPr>
          <w:rFonts w:ascii="Times New Roman" w:hAnsi="Times New Roman" w:eastAsia="MS Mincho"/>
          <w:b w:val="0"/>
          <w:i w:val="0"/>
          <w:sz w:val="24"/>
        </w:rPr>
        <w:t>bs achieves a median MAPE of 4.17 %, a 9.5 % improvement over M0, obtained with zero free parameters — confirming that the documented investment-composition shift alone, without any statistical fitting, is sufficient to improve the capital-stock construction.</w:t>
      </w:r>
    </w:p>
    <w:p>
      <w:pPr>
        <w:spacing w:after="120" w:line="360" w:lineRule="auto"/>
        <w:ind w:firstLine="480"/>
      </w:pPr>
      <w:r>
        <w:rPr>
          <w:rFonts w:ascii="Times New Roman" w:hAnsi="Times New Roman" w:eastAsia="MS Mincho"/>
          <w:b w:val="0"/>
          <w:i w:val="0"/>
          <w:sz w:val="24"/>
        </w:rPr>
        <w:t xml:space="preserve">We note, however, that out-of-sample prediction accuracy is not evidence of measurement quality </w:t>
      </w:r>
      <w:r>
        <w:rPr>
          <w:rFonts w:ascii="Times New Roman" w:hAnsi="Times New Roman" w:eastAsia="MS Mincho"/>
          <w:b w:val="0"/>
          <w:i/>
          <w:sz w:val="24"/>
        </w:rPr>
        <w:t>per se</w:t>
      </w:r>
      <w:r>
        <w:rPr>
          <w:rFonts w:ascii="Times New Roman" w:hAnsi="Times New Roman" w:eastAsia="MS Mincho"/>
          <w:b w:val="0"/>
          <w:i w:val="0"/>
          <w:sz w:val="24"/>
        </w:rPr>
        <w:t>: selecting a capital series by how well it tracks output risks folding output variation into the capital measure. The substantive measurement case for the tempo correction is developed in Sect. 5.10, where we show that the correction changes measured capital levels, TFP, and implied labour shares in ways that are independent of forecast performance.</w:t>
      </w:r>
    </w:p>
    <w:p>
      <w:pPr>
        <w:spacing w:after="120" w:line="360" w:lineRule="auto"/>
        <w:ind w:firstLine="480"/>
      </w:pPr>
      <w:r>
        <w:rPr>
          <w:rFonts w:ascii="Times New Roman" w:hAnsi="Times New Roman" w:eastAsia="MS Mincho"/>
          <w:b w:val="0"/>
          <w:i w:val="0"/>
          <w:sz w:val="24"/>
        </w:rPr>
        <w:t xml:space="preserve">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w:t>
      </w:r>
      <w:r>
        <w:rPr>
          <w:rFonts w:ascii="Times New Roman" w:hAnsi="Times New Roman" w:eastAsia="MS Mincho"/>
          <w:b w:val="0"/>
          <w:i/>
          <w:sz w:val="24"/>
        </w:rPr>
        <w:t>μ</w:t>
      </w:r>
      <w:r>
        <w:rPr>
          <w:rFonts w:ascii="Times New Roman" w:hAnsi="Times New Roman" w:eastAsia="MS Mincho"/>
          <w:b w:val="0"/>
          <w:i w:val="0"/>
          <w:sz w:val="24"/>
        </w:rPr>
        <w:t xml:space="preserve">(t)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w:t>
      </w:r>
      <w:r>
        <w:rPr>
          <w:rFonts w:ascii="Times New Roman" w:hAnsi="Times New Roman" w:eastAsia="MS Mincho"/>
          <w:b w:val="0"/>
          <w:i/>
          <w:sz w:val="24"/>
        </w:rPr>
        <w:t>β</w:t>
      </w:r>
      <w:r>
        <w:rPr>
          <w:rFonts w:ascii="Times New Roman" w:hAnsi="Times New Roman" w:eastAsia="MS Mincho"/>
          <w:b w:val="0"/>
          <w:i w:val="0"/>
          <w:sz w:val="24"/>
        </w:rPr>
        <w:t xml:space="preserve"> even when the production-side residuals alone do not.</w:t>
      </w:r>
    </w:p>
    <w:p>
      <w:pPr>
        <w:spacing w:before="360" w:after="120" w:line="360" w:lineRule="auto"/>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360" w:lineRule="auto"/>
        <w:ind w:firstLine="480"/>
      </w:pPr>
      <w:r>
        <w:rPr>
          <w:rFonts w:ascii="Times New Roman" w:hAnsi="Times New Roman" w:eastAsia="MS Mincho"/>
          <w:b w:val="0"/>
          <w:i w:val="0"/>
          <w:sz w:val="24"/>
        </w:rPr>
        <w:t xml:space="preserve">Figure 3 shows PIM-reconstructed capital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alongside CWON-produced capital NW.PCA.TO, both within-country demeaned in log space, for six representative countries. This within-country demeaning is what the joint loss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w:t>
      </w:r>
      <w:r>
        <w:rPr>
          <w:rFonts w:ascii="Times New Roman" w:hAnsi="Times New Roman" w:eastAsia="MS Mincho"/>
          <w:b w:val="0"/>
          <w:i/>
          <w:sz w:val="24"/>
        </w:rPr>
        <w:t>shape</w:t>
      </w:r>
      <w:r>
        <w:rPr>
          <w:rFonts w:ascii="Times New Roman" w:hAnsi="Times New Roman" w:eastAsia="MS Mincho"/>
          <w:b w:val="0"/>
          <w:i w:val="0"/>
          <w:sz w:val="24"/>
        </w:rPr>
        <w:t xml:space="preserv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360" w:lineRule="auto"/>
        <w:ind w:firstLine="480"/>
      </w:pPr>
      <w:r>
        <w:rPr>
          <w:rFonts w:ascii="Times New Roman" w:hAnsi="Times New Roman" w:eastAsia="MS Mincho"/>
          <w:b w:val="0"/>
          <w:i w:val="0"/>
          <w:sz w:val="24"/>
        </w:rPr>
        <w:t xml:space="preserve">Figure 4 examines whether the Japan anomaly is driven by an asset-price revaluation effect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rather than by a real stock discrepancy.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+0.04] shifts the Japanese log-ratio by roughly 0.25 log units in total, implying that the observed ~0.06-log-unit gap corresponds to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 0.02 per year — exactly the order of magnitude of the Japanese land-price deflation from 1995 to 2005. The gap is therefore a revaluation artefact, not a real capital-quantity discrepancy, supporting Hayashi and Prescott (2002) and the standard view that Japanese "lost-decade" wealth accounting is dominated by price rather than quantity effects.</w:t>
      </w:r>
    </w:p>
    <w:p>
      <w:pPr>
        <w:spacing w:before="360" w:after="120" w:line="360" w:lineRule="auto"/>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36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360" w:lineRule="auto"/>
        <w:ind w:firstLine="480"/>
      </w:pPr>
      <w:r>
        <w:rPr>
          <w:rFonts w:ascii="Times New Roman" w:hAnsi="Times New Roman" w:eastAsia="MS Mincho"/>
          <w:b w:val="0"/>
          <w:i w:val="0"/>
          <w:sz w:val="24"/>
        </w:rPr>
        <w:t xml:space="preserve">Bootstrap confidence intervals on the joint estimates (Fig. 3) show that, country by country,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are only weakly identified from production-side residuals alone — the median 95 % interval on </w:t>
      </w:r>
      <w:r>
        <w:rPr>
          <w:rFonts w:ascii="Times New Roman" w:hAnsi="Times New Roman" w:eastAsia="MS Mincho"/>
          <w:b w:val="0"/>
          <w:i/>
          <w:sz w:val="24"/>
        </w:rPr>
        <w:t>μ</w:t>
      </w:r>
      <w:r>
        <w:rPr>
          <w:rFonts w:ascii="Times New Roman" w:hAnsi="Times New Roman" w:eastAsia="MS Mincho"/>
          <w:b w:val="0"/>
          <w:i w:val="0"/>
          <w:sz w:val="24"/>
        </w:rPr>
        <w:t xml:space="preserve"> spans almost the entire grid [0.01, 6.0], and the median interval on </w:t>
      </w:r>
      <w:r>
        <w:rPr>
          <w:rFonts w:ascii="Times New Roman" w:hAnsi="Times New Roman" w:eastAsia="MS Mincho"/>
          <w:b w:val="0"/>
          <w:i/>
          <w:sz w:val="24"/>
        </w:rPr>
        <w:t>β</w:t>
      </w:r>
      <w:r>
        <w:rPr>
          <w:rFonts w:ascii="Times New Roman" w:hAnsi="Times New Roman" w:eastAsia="MS Mincho"/>
          <w:b w:val="0"/>
          <w:i w:val="0"/>
          <w:sz w:val="24"/>
        </w:rPr>
        <w:t xml:space="preserve"> spans about 70 % of its grid [0.0, 0.34]. Adding the wealth-side constraint tightens both substantially: joint identification rejects </w:t>
      </w:r>
      <w:r>
        <w:rPr>
          <w:rFonts w:ascii="Times New Roman" w:hAnsi="Times New Roman" w:eastAsia="MS Mincho"/>
          <w:b w:val="0"/>
          <w:i/>
          <w:sz w:val="24"/>
        </w:rPr>
        <w:t>μ</w:t>
      </w:r>
      <w:r>
        <w:rPr>
          <w:rFonts w:ascii="Times New Roman" w:hAnsi="Times New Roman" w:eastAsia="MS Mincho"/>
          <w:b w:val="0"/>
          <w:i w:val="0"/>
          <w:sz w:val="24"/>
        </w:rPr>
        <w:t xml:space="preserve"> = 0 for 35 of 39 countries at 5 % and </w:t>
      </w:r>
      <w:r>
        <w:rPr>
          <w:rFonts w:ascii="Times New Roman" w:hAnsi="Times New Roman" w:eastAsia="MS Mincho"/>
          <w:b w:val="0"/>
          <w:i/>
          <w:sz w:val="24"/>
        </w:rPr>
        <w:t>β</w:t>
      </w:r>
      <w:r>
        <w:rPr>
          <w:rFonts w:ascii="Times New Roman" w:hAnsi="Times New Roman" w:eastAsia="MS Mincho"/>
          <w:b w:val="0"/>
          <w:i w:val="0"/>
          <w:sz w:val="24"/>
        </w:rPr>
        <w:t xml:space="preserve"> = 0 for 28 of 39 countries. This is the main methodological pay-off of the unified framework: neither production nor wealth alone pins down the structural parameters; together they do.</w:t>
      </w:r>
    </w:p>
    <w:p>
      <w:pPr>
        <w:spacing w:after="120" w:line="360" w:lineRule="auto"/>
        <w:ind w:firstLine="480"/>
      </w:pPr>
      <w:r>
        <w:rPr>
          <w:rFonts w:ascii="Times New Roman" w:hAnsi="Times New Roman" w:eastAsia="MS Mincho"/>
          <w:b w:val="0"/>
          <w:i w:val="0"/>
          <w:sz w:val="24"/>
        </w:rPr>
        <w:t xml:space="preserve">A second way to read the bootstrap evidence is that the </w:t>
      </w:r>
      <w:r>
        <w:rPr>
          <w:rFonts w:ascii="Times New Roman" w:hAnsi="Times New Roman" w:eastAsia="MS Mincho"/>
          <w:b w:val="0"/>
          <w:i/>
          <w:sz w:val="24"/>
        </w:rPr>
        <w:t>shape</w:t>
      </w:r>
      <w:r>
        <w:rPr>
          <w:rFonts w:ascii="Times New Roman" w:hAnsi="Times New Roman" w:eastAsia="MS Mincho"/>
          <w:b w:val="0"/>
          <w:i w:val="0"/>
          <w:sz w:val="24"/>
        </w:rPr>
        <w:t xml:space="preserve"> of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is strongly country-specific. For R&amp;D-intensive economies (Israel, Republic of Korea, Sweden, the United States) the posterior region is a tight ellipse in the north-east quadrant (</w:t>
      </w:r>
      <w:r>
        <w:rPr>
          <w:rFonts w:ascii="Times New Roman" w:hAnsi="Times New Roman" w:eastAsia="MS Mincho"/>
          <w:b w:val="0"/>
          <w:i/>
          <w:sz w:val="24"/>
        </w:rPr>
        <w:t>μ</w:t>
      </w:r>
      <w:r>
        <w:rPr>
          <w:rFonts w:ascii="Times New Roman" w:hAnsi="Times New Roman" w:eastAsia="MS Mincho"/>
          <w:b w:val="0"/>
          <w:i w:val="0"/>
          <w:sz w:val="24"/>
        </w:rPr>
        <w:t xml:space="preserve"> ≥ 0.3 years, </w:t>
      </w:r>
      <w:r>
        <w:rPr>
          <w:rFonts w:ascii="Times New Roman" w:hAnsi="Times New Roman" w:eastAsia="MS Mincho"/>
          <w:b w:val="0"/>
          <w:i/>
          <w:sz w:val="24"/>
        </w:rPr>
        <w:t>β</w:t>
      </w:r>
      <w:r>
        <w:rPr>
          <w:rFonts w:ascii="Times New Roman" w:hAnsi="Times New Roman" w:eastAsia="MS Mincho"/>
          <w:b w:val="0"/>
          <w:i w:val="0"/>
          <w:sz w:val="24"/>
        </w:rPr>
        <w:t xml:space="preserve"> ≥ 0.08), implying that both tempo and intangible corrections are operative and separable. For asset-mix-stable economies (Mexico, Colombia, Turkey, Chile) the region is a wide diagonal ridge: the likelihood surface is nearly flat along a line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360" w:lineRule="auto"/>
      </w:pPr>
      <w:r>
        <w:rPr>
          <w:rFonts w:ascii="Times New Roman" w:hAnsi="Times New Roman" w:eastAsia="MS Mincho"/>
          <w:b/>
          <w:i w:val="0"/>
          <w:sz w:val="24"/>
        </w:rPr>
        <w:t>5.5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Figure 6 and Table 3 report the Relational PIM diagnostics defined in Sect. 3.5. Two findings stand out. First,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the median </w:t>
      </w:r>
      <w:r>
        <w:rPr>
          <w:rFonts w:ascii="Times New Roman" w:hAnsi="Times New Roman" w:eastAsia="MS Mincho"/>
          <w:b w:val="0"/>
          <w:i/>
          <w:sz w:val="24"/>
        </w:rPr>
        <w:t>ρ</w:t>
      </w:r>
      <w:r>
        <w:rPr>
          <w:rFonts w:ascii="Times New Roman" w:hAnsi="Times New Roman" w:eastAsia="MS Mincho"/>
          <w:b w:val="0"/>
          <w:i w:val="0"/>
          <w:sz w:val="24"/>
        </w:rPr>
        <w:t xml:space="preserve">̂₂ across 39 countries is 0.801, substantially below the consistency benchmark of 1.0. Only 9 of 39 countries have </w:t>
      </w:r>
      <w:r>
        <w:rPr>
          <w:rFonts w:ascii="Times New Roman" w:hAnsi="Times New Roman" w:eastAsia="MS Mincho"/>
          <w:b w:val="0"/>
          <w:i/>
          <w:sz w:val="24"/>
        </w:rPr>
        <w:t>ρ</w:t>
      </w:r>
      <w:r>
        <w:rPr>
          <w:rFonts w:ascii="Times New Roman" w:hAnsi="Times New Roman" w:eastAsia="MS Mincho"/>
          <w:b w:val="0"/>
          <w:i w:val="0"/>
          <w:sz w:val="24"/>
        </w:rPr>
        <w:t xml:space="preserve">̂₂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w:t>
      </w:r>
      <w:r>
        <w:rPr>
          <w:rFonts w:ascii="Times New Roman" w:hAnsi="Times New Roman" w:eastAsia="MS Mincho"/>
          <w:b w:val="0"/>
          <w:i/>
          <w:sz w:val="24"/>
        </w:rPr>
        <w:t>ρ</w:t>
      </w:r>
      <w:r>
        <w:rPr>
          <w:rFonts w:ascii="Times New Roman" w:hAnsi="Times New Roman" w:eastAsia="MS Mincho"/>
          <w:b w:val="0"/>
          <w:i w:val="0"/>
          <w:sz w:val="24"/>
        </w:rPr>
        <w:t>̂₂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360" w:lineRule="auto"/>
        <w:ind w:firstLine="480"/>
      </w:pPr>
      <w:r>
        <w:rPr>
          <w:rFonts w:ascii="Times New Roman" w:hAnsi="Times New Roman" w:eastAsia="MS Mincho"/>
          <w:b w:val="0"/>
          <w:i w:val="0"/>
          <w:sz w:val="24"/>
        </w:rPr>
        <w:t xml:space="preserve">Figure 6(b) plots </w:t>
      </w:r>
      <w:r>
        <w:rPr>
          <w:rFonts w:ascii="Times New Roman" w:hAnsi="Times New Roman" w:eastAsia="MS Mincho"/>
          <w:b w:val="0"/>
          <w:i/>
          <w:sz w:val="24"/>
        </w:rPr>
        <w:t>ρ</w:t>
      </w:r>
      <w:r>
        <w:rPr>
          <w:rFonts w:ascii="Times New Roman" w:hAnsi="Times New Roman" w:eastAsia="MS Mincho"/>
          <w:b w:val="0"/>
          <w:i w:val="0"/>
          <w:sz w:val="24"/>
        </w:rPr>
        <w:t xml:space="preserve">̂₁ against </w:t>
      </w:r>
      <w:r>
        <w:rPr>
          <w:rFonts w:ascii="Times New Roman" w:hAnsi="Times New Roman" w:eastAsia="MS Mincho"/>
          <w:b w:val="0"/>
          <w:i/>
          <w:sz w:val="24"/>
        </w:rPr>
        <w:t>ρ</w:t>
      </w:r>
      <w:r>
        <w:rPr>
          <w:rFonts w:ascii="Times New Roman" w:hAnsi="Times New Roman" w:eastAsia="MS Mincho"/>
          <w:b w:val="0"/>
          <w:i w:val="0"/>
          <w:sz w:val="24"/>
        </w:rPr>
        <w:t>̂₂ under M4. Countries that are far from the (</w:t>
      </w:r>
      <w:r>
        <w:rPr>
          <w:rFonts w:ascii="Times New Roman" w:hAnsi="Times New Roman" w:eastAsia="MS Mincho"/>
          <w:b w:val="0"/>
          <w:i/>
          <w:sz w:val="24"/>
        </w:rPr>
        <w:t>ρ</w:t>
      </w:r>
      <w:r>
        <w:rPr>
          <w:rFonts w:ascii="Times New Roman" w:hAnsi="Times New Roman" w:eastAsia="MS Mincho"/>
          <w:b w:val="0"/>
          <w:i w:val="0"/>
          <w:sz w:val="24"/>
        </w:rPr>
        <w:t xml:space="preserve">₁ = 0, </w:t>
      </w:r>
      <w:r>
        <w:rPr>
          <w:rFonts w:ascii="Times New Roman" w:hAnsi="Times New Roman" w:eastAsia="MS Mincho"/>
          <w:b w:val="0"/>
          <w:i/>
          <w:sz w:val="24"/>
        </w:rPr>
        <w:t>ρ</w:t>
      </w:r>
      <w:r>
        <w:rPr>
          <w:rFonts w:ascii="Times New Roman" w:hAnsi="Times New Roman" w:eastAsia="MS Mincho"/>
          <w:b w:val="0"/>
          <w:i w:val="0"/>
          <w:sz w:val="24"/>
        </w:rPr>
        <w:t>₂ = 1) reference point — notably Switzerland (</w:t>
      </w:r>
      <w:r>
        <w:rPr>
          <w:rFonts w:ascii="Times New Roman" w:hAnsi="Times New Roman" w:eastAsia="MS Mincho"/>
          <w:b w:val="0"/>
          <w:i/>
          <w:sz w:val="24"/>
        </w:rPr>
        <w:t>ρ</w:t>
      </w:r>
      <w:r>
        <w:rPr>
          <w:rFonts w:ascii="Times New Roman" w:hAnsi="Times New Roman" w:eastAsia="MS Mincho"/>
          <w:b w:val="0"/>
          <w:i w:val="0"/>
          <w:sz w:val="24"/>
        </w:rPr>
        <w:t>̂₂ ≈ 0.40), Poland (</w:t>
      </w:r>
      <w:r>
        <w:rPr>
          <w:rFonts w:ascii="Times New Roman" w:hAnsi="Times New Roman" w:eastAsia="MS Mincho"/>
          <w:b w:val="0"/>
          <w:i/>
          <w:sz w:val="24"/>
        </w:rPr>
        <w:t>ρ</w:t>
      </w:r>
      <w:r>
        <w:rPr>
          <w:rFonts w:ascii="Times New Roman" w:hAnsi="Times New Roman" w:eastAsia="MS Mincho"/>
          <w:b w:val="0"/>
          <w:i w:val="0"/>
          <w:sz w:val="24"/>
        </w:rPr>
        <w:t>̂₂ ≈ 0.60), and Norway (</w:t>
      </w:r>
      <w:r>
        <w:rPr>
          <w:rFonts w:ascii="Times New Roman" w:hAnsi="Times New Roman" w:eastAsia="MS Mincho"/>
          <w:b w:val="0"/>
          <w:i/>
          <w:sz w:val="24"/>
        </w:rPr>
        <w:t>ρ</w:t>
      </w:r>
      <w:r>
        <w:rPr>
          <w:rFonts w:ascii="Times New Roman" w:hAnsi="Times New Roman" w:eastAsia="MS Mincho"/>
          <w:b w:val="0"/>
          <w:i w:val="0"/>
          <w:sz w:val="24"/>
        </w:rPr>
        <w:t xml:space="preserve">̂₂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closer investigation of the underlying asset-composition assumptions in both accounts.</w:t>
      </w:r>
    </w:p>
    <w:p>
      <w:pPr>
        <w:spacing w:before="360" w:after="120" w:line="360" w:lineRule="auto"/>
      </w:pPr>
      <w:r>
        <w:rPr>
          <w:rFonts w:ascii="Times New Roman" w:hAnsi="Times New Roman" w:eastAsia="MS Mincho"/>
          <w:b/>
          <w:i w:val="0"/>
          <w:sz w:val="24"/>
        </w:rPr>
        <w:t>5.6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360" w:lineRule="auto"/>
        <w:ind w:firstLine="480"/>
      </w:pPr>
      <w:r>
        <w:rPr>
          <w:rFonts w:ascii="Times New Roman" w:hAnsi="Times New Roman" w:eastAsia="MS Mincho"/>
          <w:b w:val="0"/>
          <w:i w:val="0"/>
          <w:sz w:val="24"/>
        </w:rPr>
        <w:t xml:space="preserve">A natural concern (discussed further in Sect. 6.7) is that if the true depreciation rate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 xml:space="preserve">(t). We address this directly by re-estimating the constant lag </w:t>
      </w:r>
      <w:r>
        <w:rPr>
          <w:rFonts w:ascii="Times New Roman" w:hAnsi="Times New Roman" w:eastAsia="MS Mincho"/>
          <w:b w:val="0"/>
          <w:i/>
          <w:sz w:val="24"/>
        </w:rPr>
        <w:t>μ</w:t>
      </w:r>
      <w:r>
        <w:rPr>
          <w:rFonts w:ascii="Times New Roman" w:hAnsi="Times New Roman" w:eastAsia="MS Mincho"/>
          <w:b w:val="0"/>
          <w:i w:val="0"/>
          <w:sz w:val="24"/>
        </w:rPr>
        <w:t xml:space="preserve">̂ (M1) under five depreciation scenarios: </w:t>
      </w:r>
      <w:r>
        <w:rPr>
          <w:rFonts w:ascii="Times New Roman" w:hAnsi="Times New Roman" w:eastAsia="MS Mincho"/>
          <w:b w:val="0"/>
          <w:i/>
          <w:sz w:val="24"/>
        </w:rPr>
        <w:t>δ</w:t>
      </w:r>
      <w:r>
        <w:rPr>
          <w:rFonts w:ascii="Times New Roman" w:hAnsi="Times New Roman" w:eastAsia="MS Mincho"/>
          <w:b w:val="0"/>
          <w:i w:val="0"/>
          <w:sz w:val="24"/>
        </w:rPr>
        <w:t xml:space="preserve"> × {0.80, 0.90, 1.00, 1.10, 1.20}.</w:t>
      </w:r>
    </w:p>
    <w:p>
      <w:pPr>
        <w:spacing w:after="120" w:line="360" w:lineRule="auto"/>
        <w:ind w:firstLine="480"/>
      </w:pPr>
      <w:r>
        <w:rPr>
          <w:rFonts w:ascii="Times New Roman" w:hAnsi="Times New Roman" w:eastAsia="MS Mincho"/>
          <w:b w:val="0"/>
          <w:i w:val="0"/>
          <w:sz w:val="24"/>
        </w:rPr>
        <w:t xml:space="preserve">Figure 7 shows the results. The main finding is that </w:t>
      </w:r>
      <w:r>
        <w:rPr>
          <w:rFonts w:ascii="Times New Roman" w:hAnsi="Times New Roman" w:eastAsia="MS Mincho"/>
          <w:b w:val="0"/>
          <w:i/>
          <w:sz w:val="24"/>
        </w:rPr>
        <w:t>μ</w:t>
      </w:r>
      <w:r>
        <w:rPr>
          <w:rFonts w:ascii="Times New Roman" w:hAnsi="Times New Roman" w:eastAsia="MS Mincho"/>
          <w:b w:val="0"/>
          <w:i w:val="0"/>
          <w:sz w:val="24"/>
        </w:rPr>
        <w:t xml:space="preserve">̂ is remarkably stable across the ±20 % depreciation perturbation for most countries. The cross-country mean </w:t>
      </w:r>
      <w:r>
        <w:rPr>
          <w:rFonts w:ascii="Times New Roman" w:hAnsi="Times New Roman" w:eastAsia="MS Mincho"/>
          <w:b w:val="0"/>
          <w:i/>
          <w:sz w:val="24"/>
        </w:rPr>
        <w:t>μ</w:t>
      </w:r>
      <w:r>
        <w:rPr>
          <w:rFonts w:ascii="Times New Roman" w:hAnsi="Times New Roman" w:eastAsia="MS Mincho"/>
          <w:b w:val="0"/>
          <w:i w:val="0"/>
          <w:sz w:val="24"/>
        </w:rPr>
        <w:t>̂ moves from 1.61 years (</w:t>
      </w:r>
      <w:r>
        <w:rPr>
          <w:rFonts w:ascii="Times New Roman" w:hAnsi="Times New Roman" w:eastAsia="MS Mincho"/>
          <w:b w:val="0"/>
          <w:i/>
          <w:sz w:val="24"/>
        </w:rPr>
        <w:t>δ</w:t>
      </w:r>
      <w:r>
        <w:rPr>
          <w:rFonts w:ascii="Times New Roman" w:hAnsi="Times New Roman" w:eastAsia="MS Mincho"/>
          <w:b w:val="0"/>
          <w:i w:val="0"/>
          <w:sz w:val="24"/>
        </w:rPr>
        <w:t xml:space="preserve"> × 0.80) to 1.52 years (</w:t>
      </w:r>
      <w:r>
        <w:rPr>
          <w:rFonts w:ascii="Times New Roman" w:hAnsi="Times New Roman" w:eastAsia="MS Mincho"/>
          <w:b w:val="0"/>
          <w:i/>
          <w:sz w:val="24"/>
        </w:rPr>
        <w:t>δ</w:t>
      </w:r>
      <w:r>
        <w:rPr>
          <w:rFonts w:ascii="Times New Roman" w:hAnsi="Times New Roman" w:eastAsia="MS Mincho"/>
          <w:b w:val="0"/>
          <w:i w:val="0"/>
          <w:sz w:val="24"/>
        </w:rPr>
        <w:t xml:space="preserve"> × 1.20), a shift of only 0.09 years — less than 6 % of the baseline estimate. The median </w:t>
      </w:r>
      <w:r>
        <w:rPr>
          <w:rFonts w:ascii="Times New Roman" w:hAnsi="Times New Roman" w:eastAsia="MS Mincho"/>
          <w:b w:val="0"/>
          <w:i/>
          <w:sz w:val="24"/>
        </w:rPr>
        <w:t>μ</w:t>
      </w:r>
      <w:r>
        <w:rPr>
          <w:rFonts w:ascii="Times New Roman" w:hAnsi="Times New Roman" w:eastAsia="MS Mincho"/>
          <w:b w:val="0"/>
          <w:i w:val="0"/>
          <w:sz w:val="24"/>
        </w:rPr>
        <w:t xml:space="preserve">̂ is virtually invariant at 0.26 years across all five scenarios. Countries with interior-solution </w:t>
      </w:r>
      <w:r>
        <w:rPr>
          <w:rFonts w:ascii="Times New Roman" w:hAnsi="Times New Roman" w:eastAsia="MS Mincho"/>
          <w:b w:val="0"/>
          <w:i/>
          <w:sz w:val="24"/>
        </w:rPr>
        <w:t>μ</w:t>
      </w:r>
      <w:r>
        <w:rPr>
          <w:rFonts w:ascii="Times New Roman" w:hAnsi="Times New Roman" w:eastAsia="MS Mincho"/>
          <w:b w:val="0"/>
          <w:i w:val="0"/>
          <w:sz w:val="24"/>
        </w:rPr>
        <w:t xml:space="preserve">̂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 perturbation in </w:t>
      </w:r>
      <w:r>
        <w:rPr>
          <w:rFonts w:ascii="Times New Roman" w:hAnsi="Times New Roman" w:eastAsia="MS Mincho"/>
          <w:b w:val="0"/>
          <w:i/>
          <w:sz w:val="24"/>
        </w:rPr>
        <w:t>δ</w:t>
      </w:r>
      <w:r>
        <w:rPr>
          <w:rFonts w:ascii="Times New Roman" w:hAnsi="Times New Roman" w:eastAsia="MS Mincho"/>
          <w:b w:val="0"/>
          <w:i w:val="0"/>
          <w:sz w:val="24"/>
        </w:rPr>
        <w:t xml:space="preserve"> moves </w:t>
      </w:r>
      <w:r>
        <w:rPr>
          <w:rFonts w:ascii="Times New Roman" w:hAnsi="Times New Roman" w:eastAsia="MS Mincho"/>
          <w:b w:val="0"/>
          <w:i/>
          <w:sz w:val="24"/>
        </w:rPr>
        <w:t>μ</w:t>
      </w:r>
      <w:r>
        <w:rPr>
          <w:rFonts w:ascii="Times New Roman" w:hAnsi="Times New Roman" w:eastAsia="MS Mincho"/>
          <w:b w:val="0"/>
          <w:i w:val="0"/>
          <w:sz w:val="24"/>
        </w:rPr>
        <w:t>̂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360" w:lineRule="auto"/>
      </w:pPr>
      <w:r>
        <w:rPr>
          <w:rFonts w:ascii="Times New Roman" w:hAnsi="Times New Roman" w:eastAsia="MS Mincho"/>
          <w:b/>
          <w:i w:val="0"/>
          <w:sz w:val="24"/>
        </w:rPr>
        <w:t>5.7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360" w:lineRule="auto"/>
        <w:ind w:firstLine="480"/>
      </w:pPr>
      <w:r>
        <w:rPr>
          <w:rFonts w:ascii="Times New Roman" w:hAnsi="Times New Roman" w:eastAsia="MS Mincho"/>
          <w:b w:val="0"/>
          <w:i w:val="0"/>
          <w:sz w:val="24"/>
        </w:rPr>
        <w:t xml:space="preserve">Table 2 reports that M4 (joint tempo + intangible) achieves an out-of-sample MAPE of 4.61 %, virtually identical to M0 (4.60 %). This apparent non-improvement deserves scrutiny. Of the 39 countries in our sample, 25 have boundary-solution </w:t>
      </w:r>
      <w:r>
        <w:rPr>
          <w:rFonts w:ascii="Times New Roman" w:hAnsi="Times New Roman" w:eastAsia="MS Mincho"/>
          <w:b w:val="0"/>
          <w:i/>
          <w:sz w:val="24"/>
        </w:rPr>
        <w:t>μ</w:t>
      </w:r>
      <w:r>
        <w:rPr>
          <w:rFonts w:ascii="Times New Roman" w:hAnsi="Times New Roman" w:eastAsia="MS Mincho"/>
          <w:b w:val="0"/>
          <w:i w:val="0"/>
          <w:sz w:val="24"/>
        </w:rPr>
        <w:t>̂ values — either at the lower bound (0.01, effectively zero lag, 18 countries) or at the upper bound (6.0, 7 countries). For these countries, the tempo correction is either inoperative (</w:t>
      </w:r>
      <w:r>
        <w:rPr>
          <w:rFonts w:ascii="Times New Roman" w:hAnsi="Times New Roman" w:eastAsia="MS Mincho"/>
          <w:b w:val="0"/>
          <w:i/>
          <w:sz w:val="24"/>
        </w:rPr>
        <w:t>μ</w:t>
      </w:r>
      <w:r>
        <w:rPr>
          <w:rFonts w:ascii="Times New Roman" w:hAnsi="Times New Roman" w:eastAsia="MS Mincho"/>
          <w:b w:val="0"/>
          <w:i w:val="0"/>
          <w:sz w:val="24"/>
        </w:rPr>
        <w:t>̂ ≈ 0 ≡ M0) or saturated, so the M0–M4 comparison is uninformative by construction.</w:t>
      </w:r>
    </w:p>
    <w:p>
      <w:pPr>
        <w:spacing w:after="120" w:line="360" w:lineRule="auto"/>
        <w:ind w:firstLine="480"/>
      </w:pPr>
      <w:r>
        <w:rPr>
          <w:rFonts w:ascii="Times New Roman" w:hAnsi="Times New Roman" w:eastAsia="MS Mincho"/>
          <w:b w:val="0"/>
          <w:i w:val="0"/>
          <w:sz w:val="24"/>
        </w:rPr>
        <w:t xml:space="preserve">Figure 8 restricts the OOS evaluation to the 14 countries with interior-solution </w:t>
      </w:r>
      <w:r>
        <w:rPr>
          <w:rFonts w:ascii="Times New Roman" w:hAnsi="Times New Roman" w:eastAsia="MS Mincho"/>
          <w:b w:val="0"/>
          <w:i/>
          <w:sz w:val="24"/>
        </w:rPr>
        <w:t>μ</w:t>
      </w:r>
      <w:r>
        <w:rPr>
          <w:rFonts w:ascii="Times New Roman" w:hAnsi="Times New Roman" w:eastAsia="MS Mincho"/>
          <w:b w:val="0"/>
          <w:i w:val="0"/>
          <w:sz w:val="24"/>
        </w:rPr>
        <w:t>̂ (</w:t>
      </w:r>
      <w:r>
        <w:rPr>
          <w:rFonts w:ascii="Times New Roman" w:hAnsi="Times New Roman" w:eastAsia="MS Mincho"/>
          <w:b w:val="0"/>
          <w:i/>
          <w:sz w:val="24"/>
        </w:rPr>
        <w:t>μ</w:t>
      </w:r>
      <w:r>
        <w:rPr>
          <w:rFonts w:ascii="Times New Roman" w:hAnsi="Times New Roman" w:eastAsia="MS Mincho"/>
          <w:b w:val="0"/>
          <w:i w:val="0"/>
          <w:sz w:val="24"/>
        </w:rPr>
        <w:t>̂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360" w:lineRule="auto"/>
      </w:pPr>
      <w:r>
        <w:rPr>
          <w:rFonts w:ascii="Times New Roman" w:hAnsi="Times New Roman" w:eastAsia="MS Mincho"/>
          <w:b/>
          <w:i w:val="0"/>
          <w:sz w:val="24"/>
        </w:rPr>
        <w:t>5.8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MAPE measures average percentage error in GDP levels but does not capture whether models track the </w:t>
      </w:r>
      <w:r>
        <w:rPr>
          <w:rFonts w:ascii="Times New Roman" w:hAnsi="Times New Roman" w:eastAsia="MS Mincho"/>
          <w:b w:val="0"/>
          <w:i/>
          <w:sz w:val="24"/>
        </w:rPr>
        <w:t>direction</w:t>
      </w:r>
      <w:r>
        <w:rPr>
          <w:rFonts w:ascii="Times New Roman" w:hAnsi="Times New Roman" w:eastAsia="MS Mincho"/>
          <w:b w:val="0"/>
          <w:i w:val="0"/>
          <w:sz w:val="24"/>
        </w:rPr>
        <w:t xml:space="preserve"> of GDP growth or the </w:t>
      </w:r>
      <w:r>
        <w:rPr>
          <w:rFonts w:ascii="Times New Roman" w:hAnsi="Times New Roman" w:eastAsia="MS Mincho"/>
          <w:b w:val="0"/>
          <w:i/>
          <w:sz w:val="24"/>
        </w:rPr>
        <w:t>trajectory</w:t>
      </w:r>
      <w:r>
        <w:rPr>
          <w:rFonts w:ascii="Times New Roman" w:hAnsi="Times New Roman" w:eastAsia="MS Mincho"/>
          <w:b w:val="0"/>
          <w:i w:val="0"/>
          <w:sz w:val="24"/>
        </w:rPr>
        <w:t xml:space="preserve"> of the wealth-side capital stock. Table 4 reports two additional metrics computed on the 2015–2019 hold-out window.</w:t>
      </w:r>
    </w:p>
    <w:p>
      <w:pPr>
        <w:spacing w:after="120" w:line="36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36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15.3 %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360" w:lineRule="auto"/>
      </w:pPr>
      <w:r>
        <w:rPr>
          <w:rFonts w:ascii="Times New Roman" w:hAnsi="Times New Roman" w:eastAsia="MS Mincho"/>
          <w:b/>
          <w:i w:val="0"/>
          <w:sz w:val="24"/>
        </w:rPr>
        <w:t>5.9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360" w:lineRule="auto"/>
        <w:ind w:firstLine="480"/>
      </w:pPr>
      <w:r>
        <w:rPr>
          <w:rFonts w:ascii="Times New Roman" w:hAnsi="Times New Roman" w:eastAsia="MS Mincho"/>
          <w:b w:val="0"/>
          <w:i w:val="0"/>
          <w:sz w:val="24"/>
        </w:rPr>
        <w:t xml:space="preserve">A natural question is whether the cross-country variation in </w:t>
      </w:r>
      <w:r>
        <w:rPr>
          <w:rFonts w:ascii="Times New Roman" w:hAnsi="Times New Roman" w:eastAsia="MS Mincho"/>
          <w:b w:val="0"/>
          <w:i/>
          <w:sz w:val="24"/>
        </w:rPr>
        <w:t>ρ</w:t>
      </w:r>
      <w:r>
        <w:rPr>
          <w:rFonts w:ascii="Times New Roman" w:hAnsi="Times New Roman" w:eastAsia="MS Mincho"/>
          <w:b w:val="0"/>
          <w:i w:val="0"/>
          <w:sz w:val="24"/>
        </w:rPr>
        <w:t xml:space="preserve">̂₂ reflects observable differences in asset composition. Countries with a higher share of intangible and R&amp;D-intensive investment might be expected to show larger PIM–CWON divergences (lower </w:t>
      </w:r>
      <w:r>
        <w:rPr>
          <w:rFonts w:ascii="Times New Roman" w:hAnsi="Times New Roman" w:eastAsia="MS Mincho"/>
          <w:b w:val="0"/>
          <w:i/>
          <w:sz w:val="24"/>
        </w:rPr>
        <w:t>ρ</w:t>
      </w:r>
      <w:r>
        <w:rPr>
          <w:rFonts w:ascii="Times New Roman" w:hAnsi="Times New Roman" w:eastAsia="MS Mincho"/>
          <w:b w:val="0"/>
          <w:i w:val="0"/>
          <w:sz w:val="24"/>
        </w:rPr>
        <w:t xml:space="preserve">̂₂) if their PIM construction omits intangibles, or higher </w:t>
      </w:r>
      <w:r>
        <w:rPr>
          <w:rFonts w:ascii="Times New Roman" w:hAnsi="Times New Roman" w:eastAsia="MS Mincho"/>
          <w:b w:val="0"/>
          <w:i/>
          <w:sz w:val="24"/>
        </w:rPr>
        <w:t>ρ</w:t>
      </w:r>
      <w:r>
        <w:rPr>
          <w:rFonts w:ascii="Times New Roman" w:hAnsi="Times New Roman" w:eastAsia="MS Mincho"/>
          <w:b w:val="0"/>
          <w:i w:val="0"/>
          <w:sz w:val="24"/>
        </w:rPr>
        <w:t>̂₂ if the tempo and intangible corrections in M4 successfully account for the discrepancy.</w:t>
      </w:r>
    </w:p>
    <w:p>
      <w:pPr>
        <w:spacing w:after="120" w:line="360" w:lineRule="auto"/>
        <w:ind w:firstLine="480"/>
      </w:pPr>
      <w:r>
        <w:rPr>
          <w:rFonts w:ascii="Times New Roman" w:hAnsi="Times New Roman" w:eastAsia="MS Mincho"/>
          <w:b w:val="0"/>
          <w:i w:val="0"/>
          <w:sz w:val="24"/>
        </w:rPr>
        <w:t xml:space="preserve">Figure 9 reports a cross-sectional OLS regression of </w:t>
      </w:r>
      <w:r>
        <w:rPr>
          <w:rFonts w:ascii="Times New Roman" w:hAnsi="Times New Roman" w:eastAsia="MS Mincho"/>
          <w:b w:val="0"/>
          <w:i/>
          <w:sz w:val="24"/>
        </w:rPr>
        <w:t>ρ</w:t>
      </w:r>
      <w:r>
        <w:rPr>
          <w:rFonts w:ascii="Times New Roman" w:hAnsi="Times New Roman" w:eastAsia="MS Mincho"/>
          <w:b w:val="0"/>
          <w:i w:val="0"/>
          <w:sz w:val="24"/>
        </w:rPr>
        <w:t>̂₂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w:t>
      </w:r>
      <w:r>
        <w:rPr>
          <w:rFonts w:ascii="Times New Roman" w:hAnsi="Times New Roman" w:eastAsia="MS Mincho"/>
          <w:b w:val="0"/>
          <w:i/>
          <w:sz w:val="24"/>
        </w:rPr>
        <w:t>β</w:t>
      </w:r>
      <w:r>
        <w:rPr>
          <w:rFonts w:ascii="Times New Roman" w:hAnsi="Times New Roman" w:eastAsia="MS Mincho"/>
          <w:b w:val="0"/>
          <w:i w:val="0"/>
          <w:sz w:val="24"/>
        </w:rPr>
        <w:t>) captures a component of the capital stock that is correlated with R&amp;D intensity, thereby reducing the residual PIM–CWON gap for innovation-oriented economies.</w:t>
      </w:r>
    </w:p>
    <w:p>
      <w:pPr>
        <w:spacing w:after="120" w:line="360" w:lineRule="auto"/>
        <w:ind w:firstLine="480"/>
      </w:pPr>
      <w:r>
        <w:rPr>
          <w:rFonts w:ascii="Times New Roman" w:hAnsi="Times New Roman" w:eastAsia="MS Mincho"/>
          <w:b w:val="0"/>
          <w:i w:val="0"/>
          <w:sz w:val="24"/>
        </w:rPr>
        <w:t xml:space="preserve">The cross-sectional R² remains modest (12.9 %), reflecting the many other sources of PIM–CWON divergence (land-price revaluations, natural-resource rents, differences in asset-life assumptions). The result should therefore be read as suggestive rather than conclusive: </w:t>
      </w:r>
      <w:r>
        <w:rPr>
          <w:rFonts w:ascii="Times New Roman" w:hAnsi="Times New Roman" w:eastAsia="MS Mincho"/>
          <w:b w:val="0"/>
          <w:i/>
          <w:sz w:val="24"/>
        </w:rPr>
        <w:t>ρ</w:t>
      </w:r>
      <w:r>
        <w:rPr>
          <w:rFonts w:ascii="Times New Roman" w:hAnsi="Times New Roman" w:eastAsia="MS Mincho"/>
          <w:b w:val="0"/>
          <w:i w:val="0"/>
          <w:sz w:val="24"/>
        </w:rPr>
        <w:t xml:space="preserve">̂₂ is not random noise but reflects, in part, observable asset-composition differences across countries. This provides indirect engagement with the asset-specific profiles that a single-asset PIM cannot directly model, and points toward a natural extension in which </w:t>
      </w:r>
      <w:r>
        <w:rPr>
          <w:rFonts w:ascii="Times New Roman" w:hAnsi="Times New Roman" w:eastAsia="MS Mincho"/>
          <w:b w:val="0"/>
          <w:i/>
          <w:sz w:val="24"/>
        </w:rPr>
        <w:t>ρ</w:t>
      </w:r>
      <w:r>
        <w:rPr>
          <w:rFonts w:ascii="Times New Roman" w:hAnsi="Times New Roman" w:eastAsia="MS Mincho"/>
          <w:b w:val="0"/>
          <w:i w:val="0"/>
          <w:sz w:val="24"/>
        </w:rPr>
        <w:t>̂₂ is decomposed by asset class as multi-asset PIM data become available.</w:t>
      </w:r>
    </w:p>
    <w:p>
      <w:pPr>
        <w:spacing w:before="360" w:after="120" w:line="360" w:lineRule="auto"/>
      </w:pPr>
      <w:r>
        <w:rPr>
          <w:rFonts w:ascii="Times New Roman" w:hAnsi="Times New Roman" w:eastAsia="MS Mincho"/>
          <w:b/>
          <w:i w:val="0"/>
          <w:sz w:val="24"/>
        </w:rPr>
        <w:t>5.10 Capital-level measurement consequences of tempo correction</w:t>
      </w:r>
    </w:p>
    <w:p>
      <w:pPr>
        <w:spacing w:before="360" w:after="120"/>
        <w:jc w:val="center"/>
      </w:pPr>
      <w:r>
        <w:drawing>
          <wp:inline xmlns:a="http://schemas.openxmlformats.org/drawingml/2006/main" xmlns:pic="http://schemas.openxmlformats.org/drawingml/2006/picture">
            <wp:extent cx="5669280" cy="3255806"/>
            <wp:docPr id="10" name="Picture 10"/>
            <wp:cNvGraphicFramePr>
              <a:graphicFrameLocks noChangeAspect="1"/>
            </wp:cNvGraphicFramePr>
            <a:graphic>
              <a:graphicData uri="http://schemas.openxmlformats.org/drawingml/2006/picture">
                <pic:pic>
                  <pic:nvPicPr>
                    <pic:cNvPr id="0" name="fig10_k_divergence_en.png"/>
                    <pic:cNvPicPr/>
                  </pic:nvPicPr>
                  <pic:blipFill>
                    <a:blip r:embed="rId18"/>
                    <a:stretch>
                      <a:fillRect/>
                    </a:stretch>
                  </pic:blipFill>
                  <pic:spPr>
                    <a:xfrm>
                      <a:off x="0" y="0"/>
                      <a:ext cx="5669280" cy="3255806"/>
                    </a:xfrm>
                    <a:prstGeom prst="rect"/>
                  </pic:spPr>
                </pic:pic>
              </a:graphicData>
            </a:graphic>
          </wp:inline>
        </w:drawing>
      </w:r>
    </w:p>
    <w:p>
      <w:pPr>
        <w:spacing w:after="240"/>
        <w:jc w:val="center"/>
      </w:pPr>
      <w:r>
        <w:rPr>
          <w:rFonts w:ascii="Times New Roman" w:hAnsi="Times New Roman" w:eastAsia="MS Mincho"/>
          <w:b/>
          <w:i w:val="0"/>
          <w:sz w:val="20"/>
        </w:rPr>
        <w:t xml:space="preserve">Fig. 10. </w:t>
      </w:r>
      <w:r>
        <w:rPr>
          <w:rFonts w:ascii="Times New Roman" w:hAnsi="Times New Roman" w:eastAsia="MS Mincho"/>
          <w:b w:val="0"/>
          <w:i w:val="0"/>
          <w:sz w:val="20"/>
        </w:rPr>
        <w:t>Capital-stock divergence: K_obs vs K_M0 over time for six representative countries.</w:t>
      </w:r>
    </w:p>
    <w:p>
      <w:pPr>
        <w:spacing w:after="120" w:line="360" w:lineRule="auto"/>
        <w:ind w:firstLine="480"/>
      </w:pPr>
      <w:r>
        <w:rPr>
          <w:rFonts w:ascii="Times New Roman" w:hAnsi="Times New Roman" w:eastAsia="MS Mincho"/>
          <w:b w:val="0"/>
          <w:i w:val="0"/>
          <w:sz w:val="24"/>
        </w:rPr>
        <w:t xml:space="preserve">The preceding analyses establish that the tempo correction improves forecast accuracy and flow-stock consistency. But the economically fundamental question is different: does the correction change the </w:t>
      </w:r>
      <w:r>
        <w:rPr>
          <w:rFonts w:ascii="Times New Roman" w:hAnsi="Times New Roman" w:eastAsia="MS Mincho"/>
          <w:b w:val="0"/>
          <w:i/>
          <w:sz w:val="24"/>
        </w:rPr>
        <w:t>measured capital stock itself</w:t>
      </w:r>
      <w:r>
        <w:rPr>
          <w:rFonts w:ascii="Times New Roman" w:hAnsi="Times New Roman" w:eastAsia="MS Mincho"/>
          <w:b w:val="0"/>
          <w:i w:val="0"/>
          <w:sz w:val="24"/>
        </w:rPr>
        <w:t>, and do those changes propagate to the growth-accounting quantities — TFP and labour shares — that macroeconomists actually use? This section shows that they do, and quantifies the magnitudes.</w:t>
      </w:r>
    </w:p>
    <w:p>
      <w:pPr>
        <w:spacing w:after="120" w:line="360" w:lineRule="auto"/>
        <w:ind w:firstLine="480"/>
      </w:pPr>
      <w:r>
        <w:rPr>
          <w:rFonts w:ascii="Times New Roman" w:hAnsi="Times New Roman" w:eastAsia="MS Mincho"/>
          <w:b w:val="0"/>
          <w:i w:val="0"/>
          <w:sz w:val="24"/>
        </w:rPr>
        <w:t xml:space="preserve">From the growth-accounting identity TFP = log Y − </w:t>
      </w:r>
      <w:r>
        <w:rPr>
          <w:rFonts w:ascii="Times New Roman" w:hAnsi="Times New Roman" w:eastAsia="MS Mincho"/>
          <w:b w:val="0"/>
          <w:i/>
          <w:sz w:val="24"/>
        </w:rPr>
        <w:t>α</w:t>
      </w:r>
      <w:r>
        <w:rPr>
          <w:rFonts w:ascii="Times New Roman" w:hAnsi="Times New Roman" w:eastAsia="MS Mincho"/>
          <w:b w:val="0"/>
          <w:i w:val="0"/>
          <w:sz w:val="24"/>
        </w:rPr>
        <w:t xml:space="preserve"> log K − (1−</w:t>
      </w:r>
      <w:r>
        <w:rPr>
          <w:rFonts w:ascii="Times New Roman" w:hAnsi="Times New Roman" w:eastAsia="MS Mincho"/>
          <w:b w:val="0"/>
          <w:i/>
          <w:sz w:val="24"/>
        </w:rPr>
        <w:t>α</w:t>
      </w:r>
      <w:r>
        <w:rPr>
          <w:rFonts w:ascii="Times New Roman" w:hAnsi="Times New Roman" w:eastAsia="MS Mincho"/>
          <w:b w:val="0"/>
          <w:i w:val="0"/>
          <w:sz w:val="24"/>
        </w:rPr>
        <w:t xml:space="preserve">) log LH, any change in measured capital changes measured TFP mechanically: </w:t>
      </w:r>
      <w:r>
        <w:rPr>
          <w:rFonts w:ascii="Times New Roman" w:hAnsi="Times New Roman" w:eastAsia="MS Mincho"/>
          <w:b w:val="0"/>
          <w:i/>
          <w:sz w:val="24"/>
        </w:rPr>
        <w:t>Δ</w:t>
      </w:r>
      <w:r>
        <w:rPr>
          <w:rFonts w:ascii="Times New Roman" w:hAnsi="Times New Roman" w:eastAsia="MS Mincho"/>
          <w:b w:val="0"/>
          <w:i w:val="0"/>
          <w:sz w:val="24"/>
        </w:rPr>
        <w:t xml:space="preserve"> log K = (TFP</w:t>
      </w:r>
      <w:r>
        <w:rPr>
          <w:rFonts w:ascii="Times New Roman" w:hAnsi="Times New Roman" w:eastAsia="MS Mincho"/>
          <w:b w:val="0"/>
          <w:i/>
          <w:sz w:val="24"/>
          <w:vertAlign w:val="subscript"/>
        </w:rPr>
        <w:t>M</w:t>
      </w:r>
      <w:r>
        <w:rPr>
          <w:rFonts w:ascii="Times New Roman" w:hAnsi="Times New Roman" w:eastAsia="MS Mincho"/>
          <w:b w:val="0"/>
          <w:i w:val="0"/>
          <w:sz w:val="24"/>
        </w:rPr>
        <w:t>0 − TFP</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w:t>
      </w:r>
      <w:r>
        <w:rPr>
          <w:rFonts w:ascii="Times New Roman" w:hAnsi="Times New Roman" w:eastAsia="MS Mincho"/>
          <w:b w:val="0"/>
          <w:i/>
          <w:sz w:val="24"/>
        </w:rPr>
        <w:t>α</w:t>
      </w:r>
      <w:r>
        <w:rPr>
          <w:rFonts w:ascii="Times New Roman" w:hAnsi="Times New Roman" w:eastAsia="MS Mincho"/>
          <w:b w:val="0"/>
          <w:i w:val="0"/>
          <w:sz w:val="24"/>
        </w:rPr>
        <w:t>. Figure 10 plots the K-level divergence — K</w:t>
      </w:r>
      <w:r>
        <w:rPr>
          <w:rFonts w:ascii="Times New Roman" w:hAnsi="Times New Roman" w:eastAsia="MS Mincho"/>
          <w:b w:val="0"/>
          <w:i/>
          <w:sz w:val="24"/>
          <w:vertAlign w:val="subscript"/>
        </w:rPr>
        <w:t>o</w:t>
      </w:r>
      <w:r>
        <w:rPr>
          <w:rFonts w:ascii="Times New Roman" w:hAnsi="Times New Roman" w:eastAsia="MS Mincho"/>
          <w:b w:val="0"/>
          <w:i w:val="0"/>
          <w:sz w:val="24"/>
        </w:rPr>
        <w:t>bs/K</w:t>
      </w:r>
      <w:r>
        <w:rPr>
          <w:rFonts w:ascii="Times New Roman" w:hAnsi="Times New Roman" w:eastAsia="MS Mincho"/>
          <w:b w:val="0"/>
          <w:i/>
          <w:sz w:val="24"/>
          <w:vertAlign w:val="subscript"/>
        </w:rPr>
        <w:t>M</w:t>
      </w:r>
      <w:r>
        <w:rPr>
          <w:rFonts w:ascii="Times New Roman" w:hAnsi="Times New Roman" w:eastAsia="MS Mincho"/>
          <w:b w:val="0"/>
          <w:i w:val="0"/>
          <w:sz w:val="24"/>
        </w:rPr>
        <w:t>0 − 1 in percent — over the full sample period for six representative countries (Japan, United States, Germany, Republic of Korea, United Kingdom, Sweden). In every country the tempo-corrected stock K</w:t>
      </w:r>
      <w:r>
        <w:rPr>
          <w:rFonts w:ascii="Times New Roman" w:hAnsi="Times New Roman" w:eastAsia="MS Mincho"/>
          <w:b w:val="0"/>
          <w:i/>
          <w:sz w:val="24"/>
          <w:vertAlign w:val="subscript"/>
        </w:rPr>
        <w:t>o</w:t>
      </w:r>
      <w:r>
        <w:rPr>
          <w:rFonts w:ascii="Times New Roman" w:hAnsi="Times New Roman" w:eastAsia="MS Mincho"/>
          <w:b w:val="0"/>
          <w:i w:val="0"/>
          <w:sz w:val="24"/>
        </w:rPr>
        <w:t>bs lies below the standard PIM stock K</w:t>
      </w:r>
      <w:r>
        <w:rPr>
          <w:rFonts w:ascii="Times New Roman" w:hAnsi="Times New Roman" w:eastAsia="MS Mincho"/>
          <w:b w:val="0"/>
          <w:i/>
          <w:sz w:val="24"/>
          <w:vertAlign w:val="subscript"/>
        </w:rPr>
        <w:t>M</w:t>
      </w:r>
      <w:r>
        <w:rPr>
          <w:rFonts w:ascii="Times New Roman" w:hAnsi="Times New Roman" w:eastAsia="MS Mincho"/>
          <w:b w:val="0"/>
          <w:i w:val="0"/>
          <w:sz w:val="24"/>
        </w:rPr>
        <w:t>0, and the gap widens over time as investment composition shifts toward longer-gestation assets. This is the direct measurement consequence: the PIM counts investment as productive before it has completed gestation, overstating the capital stock. The direction is unambiguous: all 35 countries show K</w:t>
      </w:r>
      <w:r>
        <w:rPr>
          <w:rFonts w:ascii="Times New Roman" w:hAnsi="Times New Roman" w:eastAsia="MS Mincho"/>
          <w:b w:val="0"/>
          <w:i/>
          <w:sz w:val="24"/>
          <w:vertAlign w:val="subscript"/>
        </w:rPr>
        <w:t>o</w:t>
      </w:r>
      <w:r>
        <w:rPr>
          <w:rFonts w:ascii="Times New Roman" w:hAnsi="Times New Roman" w:eastAsia="MS Mincho"/>
          <w:b w:val="0"/>
          <w:i w:val="0"/>
          <w:sz w:val="24"/>
        </w:rPr>
        <w:t>bs &lt; K</w:t>
      </w:r>
      <w:r>
        <w:rPr>
          <w:rFonts w:ascii="Times New Roman" w:hAnsi="Times New Roman" w:eastAsia="MS Mincho"/>
          <w:b w:val="0"/>
          <w:i/>
          <w:sz w:val="24"/>
          <w:vertAlign w:val="subscript"/>
        </w:rPr>
        <w:t>M</w:t>
      </w:r>
      <w:r>
        <w:rPr>
          <w:rFonts w:ascii="Times New Roman" w:hAnsi="Times New Roman" w:eastAsia="MS Mincho"/>
          <w:b w:val="0"/>
          <w:i w:val="0"/>
          <w:sz w:val="24"/>
        </w:rPr>
        <w:t>0.</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K-level measurement consequences: K gap, TFP shift, and implied labour-share shift (2010-2019 country means).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881"/>
        <w:gridCol w:w="1881"/>
        <w:gridCol w:w="1881"/>
        <w:gridCol w:w="1881"/>
        <w:gridCol w:w="1881"/>
      </w:tblGrid>
      <w:tr>
        <w:tc>
          <w:tcPr>
            <w:tcW w:type="dxa" w:w="1881"/>
          </w:tcPr>
          <w:p>
            <w:r/>
            <w:r>
              <w:rPr>
                <w:rFonts w:ascii="Times New Roman" w:hAnsi="Times New Roman" w:eastAsia="MS Mincho"/>
                <w:b/>
                <w:i w:val="0"/>
                <w:sz w:val="20"/>
              </w:rPr>
              <w:t>Country</w:t>
            </w:r>
          </w:p>
        </w:tc>
        <w:tc>
          <w:tcPr>
            <w:tcW w:type="dxa" w:w="1881"/>
          </w:tcPr>
          <w:p>
            <w:r/>
            <w:r>
              <w:rPr>
                <w:rFonts w:ascii="Times New Roman" w:hAnsi="Times New Roman" w:eastAsia="MS Mincho"/>
                <w:b/>
                <w:i w:val="0"/>
                <w:sz w:val="20"/>
              </w:rPr>
              <w:t>ISO3</w:t>
            </w:r>
          </w:p>
        </w:tc>
        <w:tc>
          <w:tcPr>
            <w:tcW w:type="dxa" w:w="1881"/>
          </w:tcPr>
          <w:p>
            <w:r/>
            <w:r>
              <w:rPr>
                <w:rFonts w:ascii="Times New Roman" w:hAnsi="Times New Roman" w:eastAsia="MS Mincho"/>
                <w:b/>
                <w:i w:val="0"/>
                <w:sz w:val="20"/>
              </w:rPr>
              <w:t>K gap (%)</w:t>
            </w:r>
          </w:p>
        </w:tc>
        <w:tc>
          <w:tcPr>
            <w:tcW w:type="dxa" w:w="1881"/>
          </w:tcPr>
          <w:p>
            <w:r/>
            <w:r>
              <w:rPr>
                <w:rFonts w:ascii="Times New Roman" w:hAnsi="Times New Roman" w:eastAsia="MS Mincho"/>
                <w:b/>
                <w:i w:val="0"/>
                <w:sz w:val="20"/>
              </w:rPr>
              <w:t>TFP shift (pp)</w:t>
            </w:r>
          </w:p>
        </w:tc>
        <w:tc>
          <w:tcPr>
            <w:tcW w:type="dxa" w:w="1881"/>
          </w:tcPr>
          <w:p>
            <w:r/>
            <w:r>
              <w:rPr>
                <w:rFonts w:ascii="Times New Roman" w:hAnsi="Times New Roman" w:eastAsia="MS Mincho"/>
                <w:b/>
                <w:i w:val="0"/>
                <w:sz w:val="20"/>
              </w:rPr>
              <w:t>Labour-share shift (pp)</w:t>
            </w:r>
          </w:p>
        </w:tc>
      </w:tr>
      <w:tr>
        <w:tc>
          <w:tcPr>
            <w:tcW w:type="dxa" w:w="1881"/>
          </w:tcPr>
          <w:p>
            <w:r/>
            <w:r>
              <w:rPr>
                <w:rFonts w:ascii="Times New Roman" w:hAnsi="Times New Roman" w:eastAsia="MS Mincho"/>
                <w:b w:val="0"/>
                <w:i w:val="0"/>
                <w:sz w:val="20"/>
              </w:rPr>
              <w:t>Ireland</w:t>
            </w:r>
          </w:p>
        </w:tc>
        <w:tc>
          <w:tcPr>
            <w:tcW w:type="dxa" w:w="1881"/>
          </w:tcPr>
          <w:p>
            <w:r/>
            <w:r>
              <w:rPr>
                <w:rFonts w:ascii="Times New Roman" w:hAnsi="Times New Roman" w:eastAsia="MS Mincho"/>
                <w:b w:val="0"/>
                <w:i w:val="0"/>
                <w:sz w:val="20"/>
              </w:rPr>
              <w:t>IRL</w:t>
            </w:r>
          </w:p>
        </w:tc>
        <w:tc>
          <w:tcPr>
            <w:tcW w:type="dxa" w:w="1881"/>
          </w:tcPr>
          <w:p>
            <w:r/>
            <w:r>
              <w:rPr>
                <w:rFonts w:ascii="Times New Roman" w:hAnsi="Times New Roman" w:eastAsia="MS Mincho"/>
                <w:b w:val="0"/>
                <w:i w:val="0"/>
                <w:sz w:val="20"/>
              </w:rPr>
              <w:t>-9.17</w:t>
            </w:r>
          </w:p>
        </w:tc>
        <w:tc>
          <w:tcPr>
            <w:tcW w:type="dxa" w:w="1881"/>
          </w:tcPr>
          <w:p>
            <w:r/>
            <w:r>
              <w:rPr>
                <w:rFonts w:ascii="Times New Roman" w:hAnsi="Times New Roman" w:eastAsia="MS Mincho"/>
                <w:b w:val="0"/>
                <w:i w:val="0"/>
                <w:sz w:val="20"/>
              </w:rPr>
              <w:t>-4.64</w:t>
            </w:r>
          </w:p>
        </w:tc>
        <w:tc>
          <w:tcPr>
            <w:tcW w:type="dxa" w:w="1881"/>
          </w:tcPr>
          <w:p>
            <w:r/>
            <w:r>
              <w:rPr>
                <w:rFonts w:ascii="Times New Roman" w:hAnsi="Times New Roman" w:eastAsia="MS Mincho"/>
                <w:b w:val="0"/>
                <w:i w:val="0"/>
                <w:sz w:val="20"/>
              </w:rPr>
              <w:t>4.64</w:t>
            </w:r>
          </w:p>
        </w:tc>
      </w:tr>
      <w:tr>
        <w:tc>
          <w:tcPr>
            <w:tcW w:type="dxa" w:w="1881"/>
          </w:tcPr>
          <w:p>
            <w:r/>
            <w:r>
              <w:rPr>
                <w:rFonts w:ascii="Times New Roman" w:hAnsi="Times New Roman" w:eastAsia="MS Mincho"/>
                <w:b w:val="0"/>
                <w:i w:val="0"/>
                <w:sz w:val="20"/>
              </w:rPr>
              <w:t>Costa Rica</w:t>
            </w:r>
          </w:p>
        </w:tc>
        <w:tc>
          <w:tcPr>
            <w:tcW w:type="dxa" w:w="1881"/>
          </w:tcPr>
          <w:p>
            <w:r/>
            <w:r>
              <w:rPr>
                <w:rFonts w:ascii="Times New Roman" w:hAnsi="Times New Roman" w:eastAsia="MS Mincho"/>
                <w:b w:val="0"/>
                <w:i w:val="0"/>
                <w:sz w:val="20"/>
              </w:rPr>
              <w:t>CRI</w:t>
            </w:r>
          </w:p>
        </w:tc>
        <w:tc>
          <w:tcPr>
            <w:tcW w:type="dxa" w:w="1881"/>
          </w:tcPr>
          <w:p>
            <w:r/>
            <w:r>
              <w:rPr>
                <w:rFonts w:ascii="Times New Roman" w:hAnsi="Times New Roman" w:eastAsia="MS Mincho"/>
                <w:b w:val="0"/>
                <w:i w:val="0"/>
                <w:sz w:val="20"/>
              </w:rPr>
              <w:t>-7.25</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Republic of Korea</w:t>
            </w:r>
          </w:p>
        </w:tc>
        <w:tc>
          <w:tcPr>
            <w:tcW w:type="dxa" w:w="1881"/>
          </w:tcPr>
          <w:p>
            <w:r/>
            <w:r>
              <w:rPr>
                <w:rFonts w:ascii="Times New Roman" w:hAnsi="Times New Roman" w:eastAsia="MS Mincho"/>
                <w:b w:val="0"/>
                <w:i w:val="0"/>
                <w:sz w:val="20"/>
              </w:rPr>
              <w:t>KOR</w:t>
            </w:r>
          </w:p>
        </w:tc>
        <w:tc>
          <w:tcPr>
            <w:tcW w:type="dxa" w:w="1881"/>
          </w:tcPr>
          <w:p>
            <w:r/>
            <w:r>
              <w:rPr>
                <w:rFonts w:ascii="Times New Roman" w:hAnsi="Times New Roman" w:eastAsia="MS Mincho"/>
                <w:b w:val="0"/>
                <w:i w:val="0"/>
                <w:sz w:val="20"/>
              </w:rPr>
              <w:t>-7.07</w:t>
            </w:r>
          </w:p>
        </w:tc>
        <w:tc>
          <w:tcPr>
            <w:tcW w:type="dxa" w:w="1881"/>
          </w:tcPr>
          <w:p>
            <w:r/>
            <w:r>
              <w:rPr>
                <w:rFonts w:ascii="Times New Roman" w:hAnsi="Times New Roman" w:eastAsia="MS Mincho"/>
                <w:b w:val="0"/>
                <w:i w:val="0"/>
                <w:sz w:val="20"/>
              </w:rPr>
              <w:t>-3.1</w:t>
            </w:r>
          </w:p>
        </w:tc>
        <w:tc>
          <w:tcPr>
            <w:tcW w:type="dxa" w:w="1881"/>
          </w:tcPr>
          <w:p>
            <w:r/>
            <w:r>
              <w:rPr>
                <w:rFonts w:ascii="Times New Roman" w:hAnsi="Times New Roman" w:eastAsia="MS Mincho"/>
                <w:b w:val="0"/>
                <w:i w:val="0"/>
                <w:sz w:val="20"/>
              </w:rPr>
              <w:t>3.1</w:t>
            </w:r>
          </w:p>
        </w:tc>
      </w:tr>
      <w:tr>
        <w:tc>
          <w:tcPr>
            <w:tcW w:type="dxa" w:w="1881"/>
          </w:tcPr>
          <w:p>
            <w:r/>
            <w:r>
              <w:rPr>
                <w:rFonts w:ascii="Times New Roman" w:hAnsi="Times New Roman" w:eastAsia="MS Mincho"/>
                <w:b w:val="0"/>
                <w:i w:val="0"/>
                <w:sz w:val="20"/>
              </w:rPr>
              <w:t>Slovakia</w:t>
            </w:r>
          </w:p>
        </w:tc>
        <w:tc>
          <w:tcPr>
            <w:tcW w:type="dxa" w:w="1881"/>
          </w:tcPr>
          <w:p>
            <w:r/>
            <w:r>
              <w:rPr>
                <w:rFonts w:ascii="Times New Roman" w:hAnsi="Times New Roman" w:eastAsia="MS Mincho"/>
                <w:b w:val="0"/>
                <w:i w:val="0"/>
                <w:sz w:val="20"/>
              </w:rPr>
              <w:t>SVK</w:t>
            </w:r>
          </w:p>
        </w:tc>
        <w:tc>
          <w:tcPr>
            <w:tcW w:type="dxa" w:w="1881"/>
          </w:tcPr>
          <w:p>
            <w:r/>
            <w:r>
              <w:rPr>
                <w:rFonts w:ascii="Times New Roman" w:hAnsi="Times New Roman" w:eastAsia="MS Mincho"/>
                <w:b w:val="0"/>
                <w:i w:val="0"/>
                <w:sz w:val="20"/>
              </w:rPr>
              <w:t>-6.72</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Israel</w:t>
            </w:r>
          </w:p>
        </w:tc>
        <w:tc>
          <w:tcPr>
            <w:tcW w:type="dxa" w:w="1881"/>
          </w:tcPr>
          <w:p>
            <w:r/>
            <w:r>
              <w:rPr>
                <w:rFonts w:ascii="Times New Roman" w:hAnsi="Times New Roman" w:eastAsia="MS Mincho"/>
                <w:b w:val="0"/>
                <w:i w:val="0"/>
                <w:sz w:val="20"/>
              </w:rPr>
              <w:t>ISR</w:t>
            </w:r>
          </w:p>
        </w:tc>
        <w:tc>
          <w:tcPr>
            <w:tcW w:type="dxa" w:w="1881"/>
          </w:tcPr>
          <w:p>
            <w:r/>
            <w:r>
              <w:rPr>
                <w:rFonts w:ascii="Times New Roman" w:hAnsi="Times New Roman" w:eastAsia="MS Mincho"/>
                <w:b w:val="0"/>
                <w:i w:val="0"/>
                <w:sz w:val="20"/>
              </w:rPr>
              <w:t>-6.39</w:t>
            </w:r>
          </w:p>
        </w:tc>
        <w:tc>
          <w:tcPr>
            <w:tcW w:type="dxa" w:w="1881"/>
          </w:tcPr>
          <w:p>
            <w:r/>
            <w:r>
              <w:rPr>
                <w:rFonts w:ascii="Times New Roman" w:hAnsi="Times New Roman" w:eastAsia="MS Mincho"/>
                <w:b w:val="0"/>
                <w:i w:val="0"/>
                <w:sz w:val="20"/>
              </w:rPr>
              <w:t>-2.8</w:t>
            </w:r>
          </w:p>
        </w:tc>
        <w:tc>
          <w:tcPr>
            <w:tcW w:type="dxa" w:w="1881"/>
          </w:tcPr>
          <w:p>
            <w:r/>
            <w:r>
              <w:rPr>
                <w:rFonts w:ascii="Times New Roman" w:hAnsi="Times New Roman" w:eastAsia="MS Mincho"/>
                <w:b w:val="0"/>
                <w:i w:val="0"/>
                <w:sz w:val="20"/>
              </w:rPr>
              <w:t>2.8</w:t>
            </w:r>
          </w:p>
        </w:tc>
      </w:tr>
      <w:tr>
        <w:tc>
          <w:tcPr>
            <w:tcW w:type="dxa" w:w="1881"/>
          </w:tcPr>
          <w:p>
            <w:r/>
            <w:r>
              <w:rPr>
                <w:rFonts w:ascii="Times New Roman" w:hAnsi="Times New Roman" w:eastAsia="MS Mincho"/>
                <w:b w:val="0"/>
                <w:i w:val="0"/>
                <w:sz w:val="20"/>
              </w:rPr>
              <w:t>Lithuania</w:t>
            </w:r>
          </w:p>
        </w:tc>
        <w:tc>
          <w:tcPr>
            <w:tcW w:type="dxa" w:w="1881"/>
          </w:tcPr>
          <w:p>
            <w:r/>
            <w:r>
              <w:rPr>
                <w:rFonts w:ascii="Times New Roman" w:hAnsi="Times New Roman" w:eastAsia="MS Mincho"/>
                <w:b w:val="0"/>
                <w:i w:val="0"/>
                <w:sz w:val="20"/>
              </w:rPr>
              <w:t>LTU</w:t>
            </w:r>
          </w:p>
        </w:tc>
        <w:tc>
          <w:tcPr>
            <w:tcW w:type="dxa" w:w="1881"/>
          </w:tcPr>
          <w:p>
            <w:r/>
            <w:r>
              <w:rPr>
                <w:rFonts w:ascii="Times New Roman" w:hAnsi="Times New Roman" w:eastAsia="MS Mincho"/>
                <w:b w:val="0"/>
                <w:i w:val="0"/>
                <w:sz w:val="20"/>
              </w:rPr>
              <w:t>-6.34</w:t>
            </w:r>
          </w:p>
        </w:tc>
        <w:tc>
          <w:tcPr>
            <w:tcW w:type="dxa" w:w="1881"/>
          </w:tcPr>
          <w:p>
            <w:r/>
            <w:r>
              <w:rPr>
                <w:rFonts w:ascii="Times New Roman" w:hAnsi="Times New Roman" w:eastAsia="MS Mincho"/>
                <w:b w:val="0"/>
                <w:i w:val="0"/>
                <w:sz w:val="20"/>
              </w:rPr>
              <w:t>-3.21</w:t>
            </w:r>
          </w:p>
        </w:tc>
        <w:tc>
          <w:tcPr>
            <w:tcW w:type="dxa" w:w="1881"/>
          </w:tcPr>
          <w:p>
            <w:r/>
            <w:r>
              <w:rPr>
                <w:rFonts w:ascii="Times New Roman" w:hAnsi="Times New Roman" w:eastAsia="MS Mincho"/>
                <w:b w:val="0"/>
                <w:i w:val="0"/>
                <w:sz w:val="20"/>
              </w:rPr>
              <w:t>3.21</w:t>
            </w:r>
          </w:p>
        </w:tc>
      </w:tr>
      <w:tr>
        <w:tc>
          <w:tcPr>
            <w:tcW w:type="dxa" w:w="1881"/>
          </w:tcPr>
          <w:p>
            <w:r/>
            <w:r>
              <w:rPr>
                <w:rFonts w:ascii="Times New Roman" w:hAnsi="Times New Roman" w:eastAsia="MS Mincho"/>
                <w:b w:val="0"/>
                <w:i w:val="0"/>
                <w:sz w:val="20"/>
              </w:rPr>
              <w:t>Estonia</w:t>
            </w:r>
          </w:p>
        </w:tc>
        <w:tc>
          <w:tcPr>
            <w:tcW w:type="dxa" w:w="1881"/>
          </w:tcPr>
          <w:p>
            <w:r/>
            <w:r>
              <w:rPr>
                <w:rFonts w:ascii="Times New Roman" w:hAnsi="Times New Roman" w:eastAsia="MS Mincho"/>
                <w:b w:val="0"/>
                <w:i w:val="0"/>
                <w:sz w:val="20"/>
              </w:rPr>
              <w:t>EST</w:t>
            </w:r>
          </w:p>
        </w:tc>
        <w:tc>
          <w:tcPr>
            <w:tcW w:type="dxa" w:w="1881"/>
          </w:tcPr>
          <w:p>
            <w:r/>
            <w:r>
              <w:rPr>
                <w:rFonts w:ascii="Times New Roman" w:hAnsi="Times New Roman" w:eastAsia="MS Mincho"/>
                <w:b w:val="0"/>
                <w:i w:val="0"/>
                <w:sz w:val="20"/>
              </w:rPr>
              <w:t>-6.19</w:t>
            </w:r>
          </w:p>
        </w:tc>
        <w:tc>
          <w:tcPr>
            <w:tcW w:type="dxa" w:w="1881"/>
          </w:tcPr>
          <w:p>
            <w:r/>
            <w:r>
              <w:rPr>
                <w:rFonts w:ascii="Times New Roman" w:hAnsi="Times New Roman" w:eastAsia="MS Mincho"/>
                <w:b w:val="0"/>
                <w:i w:val="0"/>
                <w:sz w:val="20"/>
              </w:rPr>
              <w:t>-2.58</w:t>
            </w:r>
          </w:p>
        </w:tc>
        <w:tc>
          <w:tcPr>
            <w:tcW w:type="dxa" w:w="1881"/>
          </w:tcPr>
          <w:p>
            <w:r/>
            <w:r>
              <w:rPr>
                <w:rFonts w:ascii="Times New Roman" w:hAnsi="Times New Roman" w:eastAsia="MS Mincho"/>
                <w:b w:val="0"/>
                <w:i w:val="0"/>
                <w:sz w:val="20"/>
              </w:rPr>
              <w:t>2.58</w:t>
            </w:r>
          </w:p>
        </w:tc>
      </w:tr>
      <w:tr>
        <w:tc>
          <w:tcPr>
            <w:tcW w:type="dxa" w:w="1881"/>
          </w:tcPr>
          <w:p>
            <w:r/>
            <w:r>
              <w:rPr>
                <w:rFonts w:ascii="Times New Roman" w:hAnsi="Times New Roman" w:eastAsia="MS Mincho"/>
                <w:b w:val="0"/>
                <w:i w:val="0"/>
                <w:sz w:val="20"/>
              </w:rPr>
              <w:t>Luxembourg</w:t>
            </w:r>
          </w:p>
        </w:tc>
        <w:tc>
          <w:tcPr>
            <w:tcW w:type="dxa" w:w="1881"/>
          </w:tcPr>
          <w:p>
            <w:r/>
            <w:r>
              <w:rPr>
                <w:rFonts w:ascii="Times New Roman" w:hAnsi="Times New Roman" w:eastAsia="MS Mincho"/>
                <w:b w:val="0"/>
                <w:i w:val="0"/>
                <w:sz w:val="20"/>
              </w:rPr>
              <w:t>LUX</w:t>
            </w:r>
          </w:p>
        </w:tc>
        <w:tc>
          <w:tcPr>
            <w:tcW w:type="dxa" w:w="1881"/>
          </w:tcPr>
          <w:p>
            <w:r/>
            <w:r>
              <w:rPr>
                <w:rFonts w:ascii="Times New Roman" w:hAnsi="Times New Roman" w:eastAsia="MS Mincho"/>
                <w:b w:val="0"/>
                <w:i w:val="0"/>
                <w:sz w:val="20"/>
              </w:rPr>
              <w:t>-5.87</w:t>
            </w:r>
          </w:p>
        </w:tc>
        <w:tc>
          <w:tcPr>
            <w:tcW w:type="dxa" w:w="1881"/>
          </w:tcPr>
          <w:p>
            <w:r/>
            <w:r>
              <w:rPr>
                <w:rFonts w:ascii="Times New Roman" w:hAnsi="Times New Roman" w:eastAsia="MS Mincho"/>
                <w:b w:val="0"/>
                <w:i w:val="0"/>
                <w:sz w:val="20"/>
              </w:rPr>
              <w:t>-2.72</w:t>
            </w:r>
          </w:p>
        </w:tc>
        <w:tc>
          <w:tcPr>
            <w:tcW w:type="dxa" w:w="1881"/>
          </w:tcPr>
          <w:p>
            <w:r/>
            <w:r>
              <w:rPr>
                <w:rFonts w:ascii="Times New Roman" w:hAnsi="Times New Roman" w:eastAsia="MS Mincho"/>
                <w:b w:val="0"/>
                <w:i w:val="0"/>
                <w:sz w:val="20"/>
              </w:rPr>
              <w:t>2.72</w:t>
            </w:r>
          </w:p>
        </w:tc>
      </w:tr>
      <w:tr>
        <w:tc>
          <w:tcPr>
            <w:tcW w:type="dxa" w:w="1881"/>
          </w:tcPr>
          <w:p>
            <w:r/>
            <w:r>
              <w:rPr>
                <w:rFonts w:ascii="Times New Roman" w:hAnsi="Times New Roman" w:eastAsia="MS Mincho"/>
                <w:b w:val="0"/>
                <w:i w:val="0"/>
                <w:sz w:val="20"/>
              </w:rPr>
              <w:t>Czech Republic</w:t>
            </w:r>
          </w:p>
        </w:tc>
        <w:tc>
          <w:tcPr>
            <w:tcW w:type="dxa" w:w="1881"/>
          </w:tcPr>
          <w:p>
            <w:r/>
            <w:r>
              <w:rPr>
                <w:rFonts w:ascii="Times New Roman" w:hAnsi="Times New Roman" w:eastAsia="MS Mincho"/>
                <w:b w:val="0"/>
                <w:i w:val="0"/>
                <w:sz w:val="20"/>
              </w:rPr>
              <w:t>CZE</w:t>
            </w:r>
          </w:p>
        </w:tc>
        <w:tc>
          <w:tcPr>
            <w:tcW w:type="dxa" w:w="1881"/>
          </w:tcPr>
          <w:p>
            <w:r/>
            <w:r>
              <w:rPr>
                <w:rFonts w:ascii="Times New Roman" w:hAnsi="Times New Roman" w:eastAsia="MS Mincho"/>
                <w:b w:val="0"/>
                <w:i w:val="0"/>
                <w:sz w:val="20"/>
              </w:rPr>
              <w:t>-5.42</w:t>
            </w:r>
          </w:p>
        </w:tc>
        <w:tc>
          <w:tcPr>
            <w:tcW w:type="dxa" w:w="1881"/>
          </w:tcPr>
          <w:p>
            <w:r/>
            <w:r>
              <w:rPr>
                <w:rFonts w:ascii="Times New Roman" w:hAnsi="Times New Roman" w:eastAsia="MS Mincho"/>
                <w:b w:val="0"/>
                <w:i w:val="0"/>
                <w:sz w:val="20"/>
              </w:rPr>
              <w:t>-2.66</w:t>
            </w:r>
          </w:p>
        </w:tc>
        <w:tc>
          <w:tcPr>
            <w:tcW w:type="dxa" w:w="1881"/>
          </w:tcPr>
          <w:p>
            <w:r/>
            <w:r>
              <w:rPr>
                <w:rFonts w:ascii="Times New Roman" w:hAnsi="Times New Roman" w:eastAsia="MS Mincho"/>
                <w:b w:val="0"/>
                <w:i w:val="0"/>
                <w:sz w:val="20"/>
              </w:rPr>
              <w:t>2.66</w:t>
            </w:r>
          </w:p>
        </w:tc>
      </w:tr>
      <w:tr>
        <w:tc>
          <w:tcPr>
            <w:tcW w:type="dxa" w:w="1881"/>
          </w:tcPr>
          <w:p>
            <w:r/>
            <w:r>
              <w:rPr>
                <w:rFonts w:ascii="Times New Roman" w:hAnsi="Times New Roman" w:eastAsia="MS Mincho"/>
                <w:b w:val="0"/>
                <w:i w:val="0"/>
                <w:sz w:val="20"/>
              </w:rPr>
              <w:t>Poland</w:t>
            </w:r>
          </w:p>
        </w:tc>
        <w:tc>
          <w:tcPr>
            <w:tcW w:type="dxa" w:w="1881"/>
          </w:tcPr>
          <w:p>
            <w:r/>
            <w:r>
              <w:rPr>
                <w:rFonts w:ascii="Times New Roman" w:hAnsi="Times New Roman" w:eastAsia="MS Mincho"/>
                <w:b w:val="0"/>
                <w:i w:val="0"/>
                <w:sz w:val="20"/>
              </w:rPr>
              <w:t>POL</w:t>
            </w:r>
          </w:p>
        </w:tc>
        <w:tc>
          <w:tcPr>
            <w:tcW w:type="dxa" w:w="1881"/>
          </w:tcPr>
          <w:p>
            <w:r/>
            <w:r>
              <w:rPr>
                <w:rFonts w:ascii="Times New Roman" w:hAnsi="Times New Roman" w:eastAsia="MS Mincho"/>
                <w:b w:val="0"/>
                <w:i w:val="0"/>
                <w:sz w:val="20"/>
              </w:rPr>
              <w:t>-5.16</w:t>
            </w:r>
          </w:p>
        </w:tc>
        <w:tc>
          <w:tcPr>
            <w:tcW w:type="dxa" w:w="1881"/>
          </w:tcPr>
          <w:p>
            <w:r/>
            <w:r>
              <w:rPr>
                <w:rFonts w:ascii="Times New Roman" w:hAnsi="Times New Roman" w:eastAsia="MS Mincho"/>
                <w:b w:val="0"/>
                <w:i w:val="0"/>
                <w:sz w:val="20"/>
              </w:rPr>
              <w:t>-2.08</w:t>
            </w:r>
          </w:p>
        </w:tc>
        <w:tc>
          <w:tcPr>
            <w:tcW w:type="dxa" w:w="1881"/>
          </w:tcPr>
          <w:p>
            <w:r/>
            <w:r>
              <w:rPr>
                <w:rFonts w:ascii="Times New Roman" w:hAnsi="Times New Roman" w:eastAsia="MS Mincho"/>
                <w:b w:val="0"/>
                <w:i w:val="0"/>
                <w:sz w:val="20"/>
              </w:rPr>
              <w:t>2.08</w:t>
            </w:r>
          </w:p>
        </w:tc>
      </w:tr>
      <w:tr>
        <w:tc>
          <w:tcPr>
            <w:tcW w:type="dxa" w:w="1881"/>
          </w:tcPr>
          <w:p>
            <w:r/>
            <w:r>
              <w:rPr>
                <w:rFonts w:ascii="Times New Roman" w:hAnsi="Times New Roman" w:eastAsia="MS Mincho"/>
                <w:b w:val="0"/>
                <w:i w:val="0"/>
                <w:sz w:val="20"/>
              </w:rPr>
              <w:t>Colombia</w:t>
            </w:r>
          </w:p>
        </w:tc>
        <w:tc>
          <w:tcPr>
            <w:tcW w:type="dxa" w:w="1881"/>
          </w:tcPr>
          <w:p>
            <w:r/>
            <w:r>
              <w:rPr>
                <w:rFonts w:ascii="Times New Roman" w:hAnsi="Times New Roman" w:eastAsia="MS Mincho"/>
                <w:b w:val="0"/>
                <w:i w:val="0"/>
                <w:sz w:val="20"/>
              </w:rPr>
              <w:t>COL</w:t>
            </w:r>
          </w:p>
        </w:tc>
        <w:tc>
          <w:tcPr>
            <w:tcW w:type="dxa" w:w="1881"/>
          </w:tcPr>
          <w:p>
            <w:r/>
            <w:r>
              <w:rPr>
                <w:rFonts w:ascii="Times New Roman" w:hAnsi="Times New Roman" w:eastAsia="MS Mincho"/>
                <w:b w:val="0"/>
                <w:i w:val="0"/>
                <w:sz w:val="20"/>
              </w:rPr>
              <w:t>-5.05</w:t>
            </w:r>
          </w:p>
        </w:tc>
        <w:tc>
          <w:tcPr>
            <w:tcW w:type="dxa" w:w="1881"/>
          </w:tcPr>
          <w:p>
            <w:r/>
            <w:r>
              <w:rPr>
                <w:rFonts w:ascii="Times New Roman" w:hAnsi="Times New Roman" w:eastAsia="MS Mincho"/>
                <w:b w:val="0"/>
                <w:i w:val="0"/>
                <w:sz w:val="20"/>
              </w:rPr>
              <w:t>-2.71</w:t>
            </w:r>
          </w:p>
        </w:tc>
        <w:tc>
          <w:tcPr>
            <w:tcW w:type="dxa" w:w="1881"/>
          </w:tcPr>
          <w:p>
            <w:r/>
            <w:r>
              <w:rPr>
                <w:rFonts w:ascii="Times New Roman" w:hAnsi="Times New Roman" w:eastAsia="MS Mincho"/>
                <w:b w:val="0"/>
                <w:i w:val="0"/>
                <w:sz w:val="20"/>
              </w:rPr>
              <w:t>2.71</w:t>
            </w:r>
          </w:p>
        </w:tc>
      </w:tr>
      <w:tr>
        <w:tc>
          <w:tcPr>
            <w:tcW w:type="dxa" w:w="1881"/>
          </w:tcPr>
          <w:p>
            <w:r/>
            <w:r>
              <w:rPr>
                <w:rFonts w:ascii="Times New Roman" w:hAnsi="Times New Roman" w:eastAsia="MS Mincho"/>
                <w:b w:val="0"/>
                <w:i w:val="0"/>
                <w:sz w:val="20"/>
              </w:rPr>
              <w:t>Belgium</w:t>
            </w:r>
          </w:p>
        </w:tc>
        <w:tc>
          <w:tcPr>
            <w:tcW w:type="dxa" w:w="1881"/>
          </w:tcPr>
          <w:p>
            <w:r/>
            <w:r>
              <w:rPr>
                <w:rFonts w:ascii="Times New Roman" w:hAnsi="Times New Roman" w:eastAsia="MS Mincho"/>
                <w:b w:val="0"/>
                <w:i w:val="0"/>
                <w:sz w:val="20"/>
              </w:rPr>
              <w:t>BEL</w:t>
            </w:r>
          </w:p>
        </w:tc>
        <w:tc>
          <w:tcPr>
            <w:tcW w:type="dxa" w:w="1881"/>
          </w:tcPr>
          <w:p>
            <w:r/>
            <w:r>
              <w:rPr>
                <w:rFonts w:ascii="Times New Roman" w:hAnsi="Times New Roman" w:eastAsia="MS Mincho"/>
                <w:b w:val="0"/>
                <w:i w:val="0"/>
                <w:sz w:val="20"/>
              </w:rPr>
              <w:t>-4.99</w:t>
            </w:r>
          </w:p>
        </w:tc>
        <w:tc>
          <w:tcPr>
            <w:tcW w:type="dxa" w:w="1881"/>
          </w:tcPr>
          <w:p>
            <w:r/>
            <w:r>
              <w:rPr>
                <w:rFonts w:ascii="Times New Roman" w:hAnsi="Times New Roman" w:eastAsia="MS Mincho"/>
                <w:b w:val="0"/>
                <w:i w:val="0"/>
                <w:sz w:val="20"/>
              </w:rPr>
              <w:t>-1.89</w:t>
            </w:r>
          </w:p>
        </w:tc>
        <w:tc>
          <w:tcPr>
            <w:tcW w:type="dxa" w:w="1881"/>
          </w:tcPr>
          <w:p>
            <w:r/>
            <w:r>
              <w:rPr>
                <w:rFonts w:ascii="Times New Roman" w:hAnsi="Times New Roman" w:eastAsia="MS Mincho"/>
                <w:b w:val="0"/>
                <w:i w:val="0"/>
                <w:sz w:val="20"/>
              </w:rPr>
              <w:t>1.89</w:t>
            </w:r>
          </w:p>
        </w:tc>
      </w:tr>
      <w:tr>
        <w:tc>
          <w:tcPr>
            <w:tcW w:type="dxa" w:w="1881"/>
          </w:tcPr>
          <w:p>
            <w:r/>
            <w:r>
              <w:rPr>
                <w:rFonts w:ascii="Times New Roman" w:hAnsi="Times New Roman" w:eastAsia="MS Mincho"/>
                <w:b w:val="0"/>
                <w:i w:val="0"/>
                <w:sz w:val="20"/>
              </w:rPr>
              <w:t>Canada</w:t>
            </w:r>
          </w:p>
        </w:tc>
        <w:tc>
          <w:tcPr>
            <w:tcW w:type="dxa" w:w="1881"/>
          </w:tcPr>
          <w:p>
            <w:r/>
            <w:r>
              <w:rPr>
                <w:rFonts w:ascii="Times New Roman" w:hAnsi="Times New Roman" w:eastAsia="MS Mincho"/>
                <w:b w:val="0"/>
                <w:i w:val="0"/>
                <w:sz w:val="20"/>
              </w:rPr>
              <w:t>CAN</w:t>
            </w:r>
          </w:p>
        </w:tc>
        <w:tc>
          <w:tcPr>
            <w:tcW w:type="dxa" w:w="1881"/>
          </w:tcPr>
          <w:p>
            <w:r/>
            <w:r>
              <w:rPr>
                <w:rFonts w:ascii="Times New Roman" w:hAnsi="Times New Roman" w:eastAsia="MS Mincho"/>
                <w:b w:val="0"/>
                <w:i w:val="0"/>
                <w:sz w:val="20"/>
              </w:rPr>
              <w:t>-4.85</w:t>
            </w:r>
          </w:p>
        </w:tc>
        <w:tc>
          <w:tcPr>
            <w:tcW w:type="dxa" w:w="1881"/>
          </w:tcPr>
          <w:p>
            <w:r/>
            <w:r>
              <w:rPr>
                <w:rFonts w:ascii="Times New Roman" w:hAnsi="Times New Roman" w:eastAsia="MS Mincho"/>
                <w:b w:val="0"/>
                <w:i w:val="0"/>
                <w:sz w:val="20"/>
              </w:rPr>
              <w:t>-1.45</w:t>
            </w:r>
          </w:p>
        </w:tc>
        <w:tc>
          <w:tcPr>
            <w:tcW w:type="dxa" w:w="1881"/>
          </w:tcPr>
          <w:p>
            <w:r/>
            <w:r>
              <w:rPr>
                <w:rFonts w:ascii="Times New Roman" w:hAnsi="Times New Roman" w:eastAsia="MS Mincho"/>
                <w:b w:val="0"/>
                <w:i w:val="0"/>
                <w:sz w:val="20"/>
              </w:rPr>
              <w:t>1.45</w:t>
            </w:r>
          </w:p>
        </w:tc>
      </w:tr>
      <w:tr>
        <w:tc>
          <w:tcPr>
            <w:tcW w:type="dxa" w:w="1881"/>
          </w:tcPr>
          <w:p>
            <w:r/>
            <w:r>
              <w:rPr>
                <w:rFonts w:ascii="Times New Roman" w:hAnsi="Times New Roman" w:eastAsia="MS Mincho"/>
                <w:b w:val="0"/>
                <w:i w:val="0"/>
                <w:sz w:val="20"/>
              </w:rPr>
              <w:t>Australia</w:t>
            </w:r>
          </w:p>
        </w:tc>
        <w:tc>
          <w:tcPr>
            <w:tcW w:type="dxa" w:w="1881"/>
          </w:tcPr>
          <w:p>
            <w:r/>
            <w:r>
              <w:rPr>
                <w:rFonts w:ascii="Times New Roman" w:hAnsi="Times New Roman" w:eastAsia="MS Mincho"/>
                <w:b w:val="0"/>
                <w:i w:val="0"/>
                <w:sz w:val="20"/>
              </w:rPr>
              <w:t>AUS</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-1.79</w:t>
            </w:r>
          </w:p>
        </w:tc>
        <w:tc>
          <w:tcPr>
            <w:tcW w:type="dxa" w:w="1881"/>
          </w:tcPr>
          <w:p>
            <w:r/>
            <w:r>
              <w:rPr>
                <w:rFonts w:ascii="Times New Roman" w:hAnsi="Times New Roman" w:eastAsia="MS Mincho"/>
                <w:b w:val="0"/>
                <w:i w:val="0"/>
                <w:sz w:val="20"/>
              </w:rPr>
              <w:t>1.79</w:t>
            </w:r>
          </w:p>
        </w:tc>
      </w:tr>
      <w:tr>
        <w:tc>
          <w:tcPr>
            <w:tcW w:type="dxa" w:w="1881"/>
          </w:tcPr>
          <w:p>
            <w:r/>
            <w:r>
              <w:rPr>
                <w:rFonts w:ascii="Times New Roman" w:hAnsi="Times New Roman" w:eastAsia="MS Mincho"/>
                <w:b w:val="0"/>
                <w:i w:val="0"/>
                <w:sz w:val="20"/>
              </w:rPr>
              <w:t>Mexico</w:t>
            </w:r>
          </w:p>
        </w:tc>
        <w:tc>
          <w:tcPr>
            <w:tcW w:type="dxa" w:w="1881"/>
          </w:tcPr>
          <w:p>
            <w:r/>
            <w:r>
              <w:rPr>
                <w:rFonts w:ascii="Times New Roman" w:hAnsi="Times New Roman" w:eastAsia="MS Mincho"/>
                <w:b w:val="0"/>
                <w:i w:val="0"/>
                <w:sz w:val="20"/>
              </w:rPr>
              <w:t>MEX</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-2.93</w:t>
            </w:r>
          </w:p>
        </w:tc>
        <w:tc>
          <w:tcPr>
            <w:tcW w:type="dxa" w:w="1881"/>
          </w:tcPr>
          <w:p>
            <w:r/>
            <w:r>
              <w:rPr>
                <w:rFonts w:ascii="Times New Roman" w:hAnsi="Times New Roman" w:eastAsia="MS Mincho"/>
                <w:b w:val="0"/>
                <w:i w:val="0"/>
                <w:sz w:val="20"/>
              </w:rPr>
              <w:t>2.93</w:t>
            </w:r>
          </w:p>
        </w:tc>
      </w:tr>
      <w:tr>
        <w:tc>
          <w:tcPr>
            <w:tcW w:type="dxa" w:w="1881"/>
          </w:tcPr>
          <w:p>
            <w:r/>
            <w:r>
              <w:rPr>
                <w:rFonts w:ascii="Times New Roman" w:hAnsi="Times New Roman" w:eastAsia="MS Mincho"/>
                <w:b w:val="0"/>
                <w:i w:val="0"/>
                <w:sz w:val="20"/>
              </w:rPr>
              <w:t>Slovenia</w:t>
            </w:r>
          </w:p>
        </w:tc>
        <w:tc>
          <w:tcPr>
            <w:tcW w:type="dxa" w:w="1881"/>
          </w:tcPr>
          <w:p>
            <w:r/>
            <w:r>
              <w:rPr>
                <w:rFonts w:ascii="Times New Roman" w:hAnsi="Times New Roman" w:eastAsia="MS Mincho"/>
                <w:b w:val="0"/>
                <w:i w:val="0"/>
                <w:sz w:val="20"/>
              </w:rPr>
              <w:t>SVN</w:t>
            </w:r>
          </w:p>
        </w:tc>
        <w:tc>
          <w:tcPr>
            <w:tcW w:type="dxa" w:w="1881"/>
          </w:tcPr>
          <w:p>
            <w:r/>
            <w:r>
              <w:rPr>
                <w:rFonts w:ascii="Times New Roman" w:hAnsi="Times New Roman" w:eastAsia="MS Mincho"/>
                <w:b w:val="0"/>
                <w:i w:val="0"/>
                <w:sz w:val="20"/>
              </w:rPr>
              <w:t>-4.38</w:t>
            </w:r>
          </w:p>
        </w:tc>
        <w:tc>
          <w:tcPr>
            <w:tcW w:type="dxa" w:w="1881"/>
          </w:tcPr>
          <w:p>
            <w:r/>
            <w:r>
              <w:rPr>
                <w:rFonts w:ascii="Times New Roman" w:hAnsi="Times New Roman" w:eastAsia="MS Mincho"/>
                <w:b w:val="0"/>
                <w:i w:val="0"/>
                <w:sz w:val="20"/>
              </w:rPr>
              <w:t>-1.5</w:t>
            </w:r>
          </w:p>
        </w:tc>
        <w:tc>
          <w:tcPr>
            <w:tcW w:type="dxa" w:w="1881"/>
          </w:tcPr>
          <w:p>
            <w:r/>
            <w:r>
              <w:rPr>
                <w:rFonts w:ascii="Times New Roman" w:hAnsi="Times New Roman" w:eastAsia="MS Mincho"/>
                <w:b w:val="0"/>
                <w:i w:val="0"/>
                <w:sz w:val="20"/>
              </w:rPr>
              <w:t>1.5</w:t>
            </w:r>
          </w:p>
        </w:tc>
      </w:tr>
      <w:tr>
        <w:tc>
          <w:tcPr>
            <w:tcW w:type="dxa" w:w="1881"/>
          </w:tcPr>
          <w:p>
            <w:r/>
            <w:r>
              <w:rPr>
                <w:rFonts w:ascii="Times New Roman" w:hAnsi="Times New Roman" w:eastAsia="MS Mincho"/>
                <w:b w:val="0"/>
                <w:i w:val="0"/>
                <w:sz w:val="20"/>
              </w:rPr>
              <w:t>France</w:t>
            </w:r>
          </w:p>
        </w:tc>
        <w:tc>
          <w:tcPr>
            <w:tcW w:type="dxa" w:w="1881"/>
          </w:tcPr>
          <w:p>
            <w:r/>
            <w:r>
              <w:rPr>
                <w:rFonts w:ascii="Times New Roman" w:hAnsi="Times New Roman" w:eastAsia="MS Mincho"/>
                <w:b w:val="0"/>
                <w:i w:val="0"/>
                <w:sz w:val="20"/>
              </w:rPr>
              <w:t>FRA</w:t>
            </w:r>
          </w:p>
        </w:tc>
        <w:tc>
          <w:tcPr>
            <w:tcW w:type="dxa" w:w="1881"/>
          </w:tcPr>
          <w:p>
            <w:r/>
            <w:r>
              <w:rPr>
                <w:rFonts w:ascii="Times New Roman" w:hAnsi="Times New Roman" w:eastAsia="MS Mincho"/>
                <w:b w:val="0"/>
                <w:i w:val="0"/>
                <w:sz w:val="20"/>
              </w:rPr>
              <w:t>-4.33</w:t>
            </w:r>
          </w:p>
        </w:tc>
        <w:tc>
          <w:tcPr>
            <w:tcW w:type="dxa" w:w="1881"/>
          </w:tcPr>
          <w:p>
            <w:r/>
            <w:r>
              <w:rPr>
                <w:rFonts w:ascii="Times New Roman" w:hAnsi="Times New Roman" w:eastAsia="MS Mincho"/>
                <w:b w:val="0"/>
                <w:i w:val="0"/>
                <w:sz w:val="20"/>
              </w:rPr>
              <w:t>-1.56</w:t>
            </w:r>
          </w:p>
        </w:tc>
        <w:tc>
          <w:tcPr>
            <w:tcW w:type="dxa" w:w="1881"/>
          </w:tcPr>
          <w:p>
            <w:r/>
            <w:r>
              <w:rPr>
                <w:rFonts w:ascii="Times New Roman" w:hAnsi="Times New Roman" w:eastAsia="MS Mincho"/>
                <w:b w:val="0"/>
                <w:i w:val="0"/>
                <w:sz w:val="20"/>
              </w:rPr>
              <w:t>1.56</w:t>
            </w:r>
          </w:p>
        </w:tc>
      </w:tr>
      <w:tr>
        <w:tc>
          <w:tcPr>
            <w:tcW w:type="dxa" w:w="1881"/>
          </w:tcPr>
          <w:p>
            <w:r/>
            <w:r>
              <w:rPr>
                <w:rFonts w:ascii="Times New Roman" w:hAnsi="Times New Roman" w:eastAsia="MS Mincho"/>
                <w:b w:val="0"/>
                <w:i w:val="0"/>
                <w:sz w:val="20"/>
              </w:rPr>
              <w:t>Netherlands</w:t>
            </w:r>
          </w:p>
        </w:tc>
        <w:tc>
          <w:tcPr>
            <w:tcW w:type="dxa" w:w="1881"/>
          </w:tcPr>
          <w:p>
            <w:r/>
            <w:r>
              <w:rPr>
                <w:rFonts w:ascii="Times New Roman" w:hAnsi="Times New Roman" w:eastAsia="MS Mincho"/>
                <w:b w:val="0"/>
                <w:i w:val="0"/>
                <w:sz w:val="20"/>
              </w:rPr>
              <w:t>NLD</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-1.43</w:t>
            </w:r>
          </w:p>
        </w:tc>
        <w:tc>
          <w:tcPr>
            <w:tcW w:type="dxa" w:w="1881"/>
          </w:tcPr>
          <w:p>
            <w:r/>
            <w:r>
              <w:rPr>
                <w:rFonts w:ascii="Times New Roman" w:hAnsi="Times New Roman" w:eastAsia="MS Mincho"/>
                <w:b w:val="0"/>
                <w:i w:val="0"/>
                <w:sz w:val="20"/>
              </w:rPr>
              <w:t>1.43</w:t>
            </w:r>
          </w:p>
        </w:tc>
      </w:tr>
      <w:tr>
        <w:tc>
          <w:tcPr>
            <w:tcW w:type="dxa" w:w="1881"/>
          </w:tcPr>
          <w:p>
            <w:r/>
            <w:r>
              <w:rPr>
                <w:rFonts w:ascii="Times New Roman" w:hAnsi="Times New Roman" w:eastAsia="MS Mincho"/>
                <w:b w:val="0"/>
                <w:i w:val="0"/>
                <w:sz w:val="20"/>
              </w:rPr>
              <w:t>Hungary</w:t>
            </w:r>
          </w:p>
        </w:tc>
        <w:tc>
          <w:tcPr>
            <w:tcW w:type="dxa" w:w="1881"/>
          </w:tcPr>
          <w:p>
            <w:r/>
            <w:r>
              <w:rPr>
                <w:rFonts w:ascii="Times New Roman" w:hAnsi="Times New Roman" w:eastAsia="MS Mincho"/>
                <w:b w:val="0"/>
                <w:i w:val="0"/>
                <w:sz w:val="20"/>
              </w:rPr>
              <w:t>HUN</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-1.62</w:t>
            </w:r>
          </w:p>
        </w:tc>
        <w:tc>
          <w:tcPr>
            <w:tcW w:type="dxa" w:w="1881"/>
          </w:tcPr>
          <w:p>
            <w:r/>
            <w:r>
              <w:rPr>
                <w:rFonts w:ascii="Times New Roman" w:hAnsi="Times New Roman" w:eastAsia="MS Mincho"/>
                <w:b w:val="0"/>
                <w:i w:val="0"/>
                <w:sz w:val="20"/>
              </w:rPr>
              <w:t>1.62</w:t>
            </w:r>
          </w:p>
        </w:tc>
      </w:tr>
      <w:tr>
        <w:tc>
          <w:tcPr>
            <w:tcW w:type="dxa" w:w="1881"/>
          </w:tcPr>
          <w:p>
            <w:r/>
            <w:r>
              <w:rPr>
                <w:rFonts w:ascii="Times New Roman" w:hAnsi="Times New Roman" w:eastAsia="MS Mincho"/>
                <w:b w:val="0"/>
                <w:i w:val="0"/>
                <w:sz w:val="20"/>
              </w:rPr>
              <w:t>Sweden</w:t>
            </w:r>
          </w:p>
        </w:tc>
        <w:tc>
          <w:tcPr>
            <w:tcW w:type="dxa" w:w="1881"/>
          </w:tcPr>
          <w:p>
            <w:r/>
            <w:r>
              <w:rPr>
                <w:rFonts w:ascii="Times New Roman" w:hAnsi="Times New Roman" w:eastAsia="MS Mincho"/>
                <w:b w:val="0"/>
                <w:i w:val="0"/>
                <w:sz w:val="20"/>
              </w:rPr>
              <w:t>SWE</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-1.81</w:t>
            </w:r>
          </w:p>
        </w:tc>
        <w:tc>
          <w:tcPr>
            <w:tcW w:type="dxa" w:w="1881"/>
          </w:tcPr>
          <w:p>
            <w:r/>
            <w:r>
              <w:rPr>
                <w:rFonts w:ascii="Times New Roman" w:hAnsi="Times New Roman" w:eastAsia="MS Mincho"/>
                <w:b w:val="0"/>
                <w:i w:val="0"/>
                <w:sz w:val="20"/>
              </w:rPr>
              <w:t>1.81</w:t>
            </w:r>
          </w:p>
        </w:tc>
      </w:tr>
      <w:tr>
        <w:tc>
          <w:tcPr>
            <w:tcW w:type="dxa" w:w="1881"/>
          </w:tcPr>
          <w:p>
            <w:r/>
            <w:r>
              <w:rPr>
                <w:rFonts w:ascii="Times New Roman" w:hAnsi="Times New Roman" w:eastAsia="MS Mincho"/>
                <w:b w:val="0"/>
                <w:i w:val="0"/>
                <w:sz w:val="20"/>
              </w:rPr>
              <w:t>United Kingdom</w:t>
            </w:r>
          </w:p>
        </w:tc>
        <w:tc>
          <w:tcPr>
            <w:tcW w:type="dxa" w:w="1881"/>
          </w:tcPr>
          <w:p>
            <w:r/>
            <w:r>
              <w:rPr>
                <w:rFonts w:ascii="Times New Roman" w:hAnsi="Times New Roman" w:eastAsia="MS Mincho"/>
                <w:b w:val="0"/>
                <w:i w:val="0"/>
                <w:sz w:val="20"/>
              </w:rPr>
              <w:t>GBR</w:t>
            </w:r>
          </w:p>
        </w:tc>
        <w:tc>
          <w:tcPr>
            <w:tcW w:type="dxa" w:w="1881"/>
          </w:tcPr>
          <w:p>
            <w:r/>
            <w:r>
              <w:rPr>
                <w:rFonts w:ascii="Times New Roman" w:hAnsi="Times New Roman" w:eastAsia="MS Mincho"/>
                <w:b w:val="0"/>
                <w:i w:val="0"/>
                <w:sz w:val="20"/>
              </w:rPr>
              <w:t>-4.15</w:t>
            </w:r>
          </w:p>
        </w:tc>
        <w:tc>
          <w:tcPr>
            <w:tcW w:type="dxa" w:w="1881"/>
          </w:tcPr>
          <w:p>
            <w:r/>
            <w:r>
              <w:rPr>
                <w:rFonts w:ascii="Times New Roman" w:hAnsi="Times New Roman" w:eastAsia="MS Mincho"/>
                <w:b w:val="0"/>
                <w:i w:val="0"/>
                <w:sz w:val="20"/>
              </w:rPr>
              <w:t>-1.84</w:t>
            </w:r>
          </w:p>
        </w:tc>
        <w:tc>
          <w:tcPr>
            <w:tcW w:type="dxa" w:w="1881"/>
          </w:tcPr>
          <w:p>
            <w:r/>
            <w:r>
              <w:rPr>
                <w:rFonts w:ascii="Times New Roman" w:hAnsi="Times New Roman" w:eastAsia="MS Mincho"/>
                <w:b w:val="0"/>
                <w:i w:val="0"/>
                <w:sz w:val="20"/>
              </w:rPr>
              <w:t>1.84</w:t>
            </w:r>
          </w:p>
        </w:tc>
      </w:tr>
      <w:tr>
        <w:tc>
          <w:tcPr>
            <w:tcW w:type="dxa" w:w="1881"/>
          </w:tcPr>
          <w:p>
            <w:r/>
            <w:r>
              <w:rPr>
                <w:rFonts w:ascii="Times New Roman" w:hAnsi="Times New Roman" w:eastAsia="MS Mincho"/>
                <w:b w:val="0"/>
                <w:i w:val="0"/>
                <w:sz w:val="20"/>
              </w:rPr>
              <w:t>New Zealand</w:t>
            </w:r>
          </w:p>
        </w:tc>
        <w:tc>
          <w:tcPr>
            <w:tcW w:type="dxa" w:w="1881"/>
          </w:tcPr>
          <w:p>
            <w:r/>
            <w:r>
              <w:rPr>
                <w:rFonts w:ascii="Times New Roman" w:hAnsi="Times New Roman" w:eastAsia="MS Mincho"/>
                <w:b w:val="0"/>
                <w:i w:val="0"/>
                <w:sz w:val="20"/>
              </w:rPr>
              <w:t>NZL</w:t>
            </w:r>
          </w:p>
        </w:tc>
        <w:tc>
          <w:tcPr>
            <w:tcW w:type="dxa" w:w="1881"/>
          </w:tcPr>
          <w:p>
            <w:r/>
            <w:r>
              <w:rPr>
                <w:rFonts w:ascii="Times New Roman" w:hAnsi="Times New Roman" w:eastAsia="MS Mincho"/>
                <w:b w:val="0"/>
                <w:i w:val="0"/>
                <w:sz w:val="20"/>
              </w:rPr>
              <w:t>-4.07</w:t>
            </w:r>
          </w:p>
        </w:tc>
        <w:tc>
          <w:tcPr>
            <w:tcW w:type="dxa" w:w="1881"/>
          </w:tcPr>
          <w:p>
            <w:r/>
            <w:r>
              <w:rPr>
                <w:rFonts w:ascii="Times New Roman" w:hAnsi="Times New Roman" w:eastAsia="MS Mincho"/>
                <w:b w:val="0"/>
                <w:i w:val="0"/>
                <w:sz w:val="20"/>
              </w:rPr>
              <w:t>-1.7</w:t>
            </w:r>
          </w:p>
        </w:tc>
        <w:tc>
          <w:tcPr>
            <w:tcW w:type="dxa" w:w="1881"/>
          </w:tcPr>
          <w:p>
            <w:r/>
            <w:r>
              <w:rPr>
                <w:rFonts w:ascii="Times New Roman" w:hAnsi="Times New Roman" w:eastAsia="MS Mincho"/>
                <w:b w:val="0"/>
                <w:i w:val="0"/>
                <w:sz w:val="20"/>
              </w:rPr>
              <w:t>1.7</w:t>
            </w:r>
          </w:p>
        </w:tc>
      </w:tr>
      <w:tr>
        <w:tc>
          <w:tcPr>
            <w:tcW w:type="dxa" w:w="1881"/>
          </w:tcPr>
          <w:p>
            <w:r/>
            <w:r>
              <w:rPr>
                <w:rFonts w:ascii="Times New Roman" w:hAnsi="Times New Roman" w:eastAsia="MS Mincho"/>
                <w:b w:val="0"/>
                <w:i w:val="0"/>
                <w:sz w:val="20"/>
              </w:rPr>
              <w:t>Latvia</w:t>
            </w:r>
          </w:p>
        </w:tc>
        <w:tc>
          <w:tcPr>
            <w:tcW w:type="dxa" w:w="1881"/>
          </w:tcPr>
          <w:p>
            <w:r/>
            <w:r>
              <w:rPr>
                <w:rFonts w:ascii="Times New Roman" w:hAnsi="Times New Roman" w:eastAsia="MS Mincho"/>
                <w:b w:val="0"/>
                <w:i w:val="0"/>
                <w:sz w:val="20"/>
              </w:rPr>
              <w:t>LVA</w:t>
            </w:r>
          </w:p>
        </w:tc>
        <w:tc>
          <w:tcPr>
            <w:tcW w:type="dxa" w:w="1881"/>
          </w:tcPr>
          <w:p>
            <w:r/>
            <w:r>
              <w:rPr>
                <w:rFonts w:ascii="Times New Roman" w:hAnsi="Times New Roman" w:eastAsia="MS Mincho"/>
                <w:b w:val="0"/>
                <w:i w:val="0"/>
                <w:sz w:val="20"/>
              </w:rPr>
              <w:t>-3.97</w:t>
            </w:r>
          </w:p>
        </w:tc>
        <w:tc>
          <w:tcPr>
            <w:tcW w:type="dxa" w:w="1881"/>
          </w:tcPr>
          <w:p>
            <w:r/>
            <w:r>
              <w:rPr>
                <w:rFonts w:ascii="Times New Roman" w:hAnsi="Times New Roman" w:eastAsia="MS Mincho"/>
                <w:b w:val="0"/>
                <w:i w:val="0"/>
                <w:sz w:val="20"/>
              </w:rPr>
              <w:t>-1.93</w:t>
            </w:r>
          </w:p>
        </w:tc>
        <w:tc>
          <w:tcPr>
            <w:tcW w:type="dxa" w:w="1881"/>
          </w:tcPr>
          <w:p>
            <w:r/>
            <w:r>
              <w:rPr>
                <w:rFonts w:ascii="Times New Roman" w:hAnsi="Times New Roman" w:eastAsia="MS Mincho"/>
                <w:b w:val="0"/>
                <w:i w:val="0"/>
                <w:sz w:val="20"/>
              </w:rPr>
              <w:t>1.93</w:t>
            </w:r>
          </w:p>
        </w:tc>
      </w:tr>
      <w:tr>
        <w:tc>
          <w:tcPr>
            <w:tcW w:type="dxa" w:w="1881"/>
          </w:tcPr>
          <w:p>
            <w:r/>
            <w:r>
              <w:rPr>
                <w:rFonts w:ascii="Times New Roman" w:hAnsi="Times New Roman" w:eastAsia="MS Mincho"/>
                <w:b w:val="0"/>
                <w:i w:val="0"/>
                <w:sz w:val="20"/>
              </w:rPr>
              <w:t>Spain</w:t>
            </w:r>
          </w:p>
        </w:tc>
        <w:tc>
          <w:tcPr>
            <w:tcW w:type="dxa" w:w="1881"/>
          </w:tcPr>
          <w:p>
            <w:r/>
            <w:r>
              <w:rPr>
                <w:rFonts w:ascii="Times New Roman" w:hAnsi="Times New Roman" w:eastAsia="MS Mincho"/>
                <w:b w:val="0"/>
                <w:i w:val="0"/>
                <w:sz w:val="20"/>
              </w:rPr>
              <w:t>ESP</w:t>
            </w:r>
          </w:p>
        </w:tc>
        <w:tc>
          <w:tcPr>
            <w:tcW w:type="dxa" w:w="1881"/>
          </w:tcPr>
          <w:p>
            <w:r/>
            <w:r>
              <w:rPr>
                <w:rFonts w:ascii="Times New Roman" w:hAnsi="Times New Roman" w:eastAsia="MS Mincho"/>
                <w:b w:val="0"/>
                <w:i w:val="0"/>
                <w:sz w:val="20"/>
              </w:rPr>
              <w:t>-3.91</w:t>
            </w:r>
          </w:p>
        </w:tc>
        <w:tc>
          <w:tcPr>
            <w:tcW w:type="dxa" w:w="1881"/>
          </w:tcPr>
          <w:p>
            <w:r/>
            <w:r>
              <w:rPr>
                <w:rFonts w:ascii="Times New Roman" w:hAnsi="Times New Roman" w:eastAsia="MS Mincho"/>
                <w:b w:val="0"/>
                <w:i w:val="0"/>
                <w:sz w:val="20"/>
              </w:rPr>
              <w:t>-1.53</w:t>
            </w:r>
          </w:p>
        </w:tc>
        <w:tc>
          <w:tcPr>
            <w:tcW w:type="dxa" w:w="1881"/>
          </w:tcPr>
          <w:p>
            <w:r/>
            <w:r>
              <w:rPr>
                <w:rFonts w:ascii="Times New Roman" w:hAnsi="Times New Roman" w:eastAsia="MS Mincho"/>
                <w:b w:val="0"/>
                <w:i w:val="0"/>
                <w:sz w:val="20"/>
              </w:rPr>
              <w:t>1.53</w:t>
            </w:r>
          </w:p>
        </w:tc>
      </w:tr>
      <w:tr>
        <w:tc>
          <w:tcPr>
            <w:tcW w:type="dxa" w:w="1881"/>
          </w:tcPr>
          <w:p>
            <w:r/>
            <w:r>
              <w:rPr>
                <w:rFonts w:ascii="Times New Roman" w:hAnsi="Times New Roman" w:eastAsia="MS Mincho"/>
                <w:b w:val="0"/>
                <w:i w:val="0"/>
                <w:sz w:val="20"/>
              </w:rPr>
              <w:t>Austria</w:t>
            </w:r>
          </w:p>
        </w:tc>
        <w:tc>
          <w:tcPr>
            <w:tcW w:type="dxa" w:w="1881"/>
          </w:tcPr>
          <w:p>
            <w:r/>
            <w:r>
              <w:rPr>
                <w:rFonts w:ascii="Times New Roman" w:hAnsi="Times New Roman" w:eastAsia="MS Mincho"/>
                <w:b w:val="0"/>
                <w:i w:val="0"/>
                <w:sz w:val="20"/>
              </w:rPr>
              <w:t>AUT</w:t>
            </w:r>
          </w:p>
        </w:tc>
        <w:tc>
          <w:tcPr>
            <w:tcW w:type="dxa" w:w="1881"/>
          </w:tcPr>
          <w:p>
            <w:r/>
            <w:r>
              <w:rPr>
                <w:rFonts w:ascii="Times New Roman" w:hAnsi="Times New Roman" w:eastAsia="MS Mincho"/>
                <w:b w:val="0"/>
                <w:i w:val="0"/>
                <w:sz w:val="20"/>
              </w:rPr>
              <w:t>-3.86</w:t>
            </w:r>
          </w:p>
        </w:tc>
        <w:tc>
          <w:tcPr>
            <w:tcW w:type="dxa" w:w="1881"/>
          </w:tcPr>
          <w:p>
            <w:r/>
            <w:r>
              <w:rPr>
                <w:rFonts w:ascii="Times New Roman" w:hAnsi="Times New Roman" w:eastAsia="MS Mincho"/>
                <w:b w:val="0"/>
                <w:i w:val="0"/>
                <w:sz w:val="20"/>
              </w:rPr>
              <w:t>-1.51</w:t>
            </w:r>
          </w:p>
        </w:tc>
        <w:tc>
          <w:tcPr>
            <w:tcW w:type="dxa" w:w="1881"/>
          </w:tcPr>
          <w:p>
            <w:r/>
            <w:r>
              <w:rPr>
                <w:rFonts w:ascii="Times New Roman" w:hAnsi="Times New Roman" w:eastAsia="MS Mincho"/>
                <w:b w:val="0"/>
                <w:i w:val="0"/>
                <w:sz w:val="20"/>
              </w:rPr>
              <w:t>1.51</w:t>
            </w:r>
          </w:p>
        </w:tc>
      </w:tr>
      <w:tr>
        <w:tc>
          <w:tcPr>
            <w:tcW w:type="dxa" w:w="1881"/>
          </w:tcPr>
          <w:p>
            <w:r/>
            <w:r>
              <w:rPr>
                <w:rFonts w:ascii="Times New Roman" w:hAnsi="Times New Roman" w:eastAsia="MS Mincho"/>
                <w:b w:val="0"/>
                <w:i w:val="0"/>
                <w:sz w:val="20"/>
              </w:rPr>
              <w:t>Norway</w:t>
            </w:r>
          </w:p>
        </w:tc>
        <w:tc>
          <w:tcPr>
            <w:tcW w:type="dxa" w:w="1881"/>
          </w:tcPr>
          <w:p>
            <w:r/>
            <w:r>
              <w:rPr>
                <w:rFonts w:ascii="Times New Roman" w:hAnsi="Times New Roman" w:eastAsia="MS Mincho"/>
                <w:b w:val="0"/>
                <w:i w:val="0"/>
                <w:sz w:val="20"/>
              </w:rPr>
              <w:t>NOR</w:t>
            </w:r>
          </w:p>
        </w:tc>
        <w:tc>
          <w:tcPr>
            <w:tcW w:type="dxa" w:w="1881"/>
          </w:tcPr>
          <w:p>
            <w:r/>
            <w:r>
              <w:rPr>
                <w:rFonts w:ascii="Times New Roman" w:hAnsi="Times New Roman" w:eastAsia="MS Mincho"/>
                <w:b w:val="0"/>
                <w:i w:val="0"/>
                <w:sz w:val="20"/>
              </w:rPr>
              <w:t>-3.83</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r>
        <w:tc>
          <w:tcPr>
            <w:tcW w:type="dxa" w:w="1881"/>
          </w:tcPr>
          <w:p>
            <w:r/>
            <w:r>
              <w:rPr>
                <w:rFonts w:ascii="Times New Roman" w:hAnsi="Times New Roman" w:eastAsia="MS Mincho"/>
                <w:b w:val="0"/>
                <w:i w:val="0"/>
                <w:sz w:val="20"/>
              </w:rPr>
              <w:t>United States</w:t>
            </w:r>
          </w:p>
        </w:tc>
        <w:tc>
          <w:tcPr>
            <w:tcW w:type="dxa" w:w="1881"/>
          </w:tcPr>
          <w:p>
            <w:r/>
            <w:r>
              <w:rPr>
                <w:rFonts w:ascii="Times New Roman" w:hAnsi="Times New Roman" w:eastAsia="MS Mincho"/>
                <w:b w:val="0"/>
                <w:i w:val="0"/>
                <w:sz w:val="20"/>
              </w:rPr>
              <w:t>USA</w:t>
            </w:r>
          </w:p>
        </w:tc>
        <w:tc>
          <w:tcPr>
            <w:tcW w:type="dxa" w:w="1881"/>
          </w:tcPr>
          <w:p>
            <w:r/>
            <w:r>
              <w:rPr>
                <w:rFonts w:ascii="Times New Roman" w:hAnsi="Times New Roman" w:eastAsia="MS Mincho"/>
                <w:b w:val="0"/>
                <w:i w:val="0"/>
                <w:sz w:val="20"/>
              </w:rPr>
              <w:t>-3.7</w:t>
            </w:r>
          </w:p>
        </w:tc>
        <w:tc>
          <w:tcPr>
            <w:tcW w:type="dxa" w:w="1881"/>
          </w:tcPr>
          <w:p>
            <w:r/>
            <w:r>
              <w:rPr>
                <w:rFonts w:ascii="Times New Roman" w:hAnsi="Times New Roman" w:eastAsia="MS Mincho"/>
                <w:b w:val="0"/>
                <w:i w:val="0"/>
                <w:sz w:val="20"/>
              </w:rPr>
              <w:t>-1.44</w:t>
            </w:r>
          </w:p>
        </w:tc>
        <w:tc>
          <w:tcPr>
            <w:tcW w:type="dxa" w:w="1881"/>
          </w:tcPr>
          <w:p>
            <w:r/>
            <w:r>
              <w:rPr>
                <w:rFonts w:ascii="Times New Roman" w:hAnsi="Times New Roman" w:eastAsia="MS Mincho"/>
                <w:b w:val="0"/>
                <w:i w:val="0"/>
                <w:sz w:val="20"/>
              </w:rPr>
              <w:t>1.44</w:t>
            </w:r>
          </w:p>
        </w:tc>
      </w:tr>
      <w:tr>
        <w:tc>
          <w:tcPr>
            <w:tcW w:type="dxa" w:w="1881"/>
          </w:tcPr>
          <w:p>
            <w:r/>
            <w:r>
              <w:rPr>
                <w:rFonts w:ascii="Times New Roman" w:hAnsi="Times New Roman" w:eastAsia="MS Mincho"/>
                <w:b w:val="0"/>
                <w:i w:val="0"/>
                <w:sz w:val="20"/>
              </w:rPr>
              <w:t>Denmark</w:t>
            </w:r>
          </w:p>
        </w:tc>
        <w:tc>
          <w:tcPr>
            <w:tcW w:type="dxa" w:w="1881"/>
          </w:tcPr>
          <w:p>
            <w:r/>
            <w:r>
              <w:rPr>
                <w:rFonts w:ascii="Times New Roman" w:hAnsi="Times New Roman" w:eastAsia="MS Mincho"/>
                <w:b w:val="0"/>
                <w:i w:val="0"/>
                <w:sz w:val="20"/>
              </w:rPr>
              <w:t>DNK</w:t>
            </w:r>
          </w:p>
        </w:tc>
        <w:tc>
          <w:tcPr>
            <w:tcW w:type="dxa" w:w="1881"/>
          </w:tcPr>
          <w:p>
            <w:r/>
            <w:r>
              <w:rPr>
                <w:rFonts w:ascii="Times New Roman" w:hAnsi="Times New Roman" w:eastAsia="MS Mincho"/>
                <w:b w:val="0"/>
                <w:i w:val="0"/>
                <w:sz w:val="20"/>
              </w:rPr>
              <w:t>-3.56</w:t>
            </w:r>
          </w:p>
        </w:tc>
        <w:tc>
          <w:tcPr>
            <w:tcW w:type="dxa" w:w="1881"/>
          </w:tcPr>
          <w:p>
            <w:r/>
            <w:r>
              <w:rPr>
                <w:rFonts w:ascii="Times New Roman" w:hAnsi="Times New Roman" w:eastAsia="MS Mincho"/>
                <w:b w:val="0"/>
                <w:i w:val="0"/>
                <w:sz w:val="20"/>
              </w:rPr>
              <w:t>-1.31</w:t>
            </w:r>
          </w:p>
        </w:tc>
        <w:tc>
          <w:tcPr>
            <w:tcW w:type="dxa" w:w="1881"/>
          </w:tcPr>
          <w:p>
            <w:r/>
            <w:r>
              <w:rPr>
                <w:rFonts w:ascii="Times New Roman" w:hAnsi="Times New Roman" w:eastAsia="MS Mincho"/>
                <w:b w:val="0"/>
                <w:i w:val="0"/>
                <w:sz w:val="20"/>
              </w:rPr>
              <w:t>1.31</w:t>
            </w:r>
          </w:p>
        </w:tc>
      </w:tr>
      <w:tr>
        <w:tc>
          <w:tcPr>
            <w:tcW w:type="dxa" w:w="1881"/>
          </w:tcPr>
          <w:p>
            <w:r/>
            <w:r>
              <w:rPr>
                <w:rFonts w:ascii="Times New Roman" w:hAnsi="Times New Roman" w:eastAsia="MS Mincho"/>
                <w:b w:val="0"/>
                <w:i w:val="0"/>
                <w:sz w:val="20"/>
              </w:rPr>
              <w:t>Finland</w:t>
            </w:r>
          </w:p>
        </w:tc>
        <w:tc>
          <w:tcPr>
            <w:tcW w:type="dxa" w:w="1881"/>
          </w:tcPr>
          <w:p>
            <w:r/>
            <w:r>
              <w:rPr>
                <w:rFonts w:ascii="Times New Roman" w:hAnsi="Times New Roman" w:eastAsia="MS Mincho"/>
                <w:b w:val="0"/>
                <w:i w:val="0"/>
                <w:sz w:val="20"/>
              </w:rPr>
              <w:t>FIN</w:t>
            </w:r>
          </w:p>
        </w:tc>
        <w:tc>
          <w:tcPr>
            <w:tcW w:type="dxa" w:w="1881"/>
          </w:tcPr>
          <w:p>
            <w:r/>
            <w:r>
              <w:rPr>
                <w:rFonts w:ascii="Times New Roman" w:hAnsi="Times New Roman" w:eastAsia="MS Mincho"/>
                <w:b w:val="0"/>
                <w:i w:val="0"/>
                <w:sz w:val="20"/>
              </w:rPr>
              <w:t>-3.36</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1.21</w:t>
            </w:r>
          </w:p>
        </w:tc>
      </w:tr>
      <w:tr>
        <w:tc>
          <w:tcPr>
            <w:tcW w:type="dxa" w:w="1881"/>
          </w:tcPr>
          <w:p>
            <w:r/>
            <w:r>
              <w:rPr>
                <w:rFonts w:ascii="Times New Roman" w:hAnsi="Times New Roman" w:eastAsia="MS Mincho"/>
                <w:b w:val="0"/>
                <w:i w:val="0"/>
                <w:sz w:val="20"/>
              </w:rPr>
              <w:t>Iceland</w:t>
            </w:r>
          </w:p>
        </w:tc>
        <w:tc>
          <w:tcPr>
            <w:tcW w:type="dxa" w:w="1881"/>
          </w:tcPr>
          <w:p>
            <w:r/>
            <w:r>
              <w:rPr>
                <w:rFonts w:ascii="Times New Roman" w:hAnsi="Times New Roman" w:eastAsia="MS Mincho"/>
                <w:b w:val="0"/>
                <w:i w:val="0"/>
                <w:sz w:val="20"/>
              </w:rPr>
              <w:t>ISL</w:t>
            </w:r>
          </w:p>
        </w:tc>
        <w:tc>
          <w:tcPr>
            <w:tcW w:type="dxa" w:w="1881"/>
          </w:tcPr>
          <w:p>
            <w:r/>
            <w:r>
              <w:rPr>
                <w:rFonts w:ascii="Times New Roman" w:hAnsi="Times New Roman" w:eastAsia="MS Mincho"/>
                <w:b w:val="0"/>
                <w:i w:val="0"/>
                <w:sz w:val="20"/>
              </w:rPr>
              <w:t>-2.91</w:t>
            </w:r>
          </w:p>
        </w:tc>
        <w:tc>
          <w:tcPr>
            <w:tcW w:type="dxa" w:w="1881"/>
          </w:tcPr>
          <w:p>
            <w:r/>
            <w:r>
              <w:rPr>
                <w:rFonts w:ascii="Times New Roman" w:hAnsi="Times New Roman" w:eastAsia="MS Mincho"/>
                <w:b w:val="0"/>
                <w:i w:val="0"/>
                <w:sz w:val="20"/>
              </w:rPr>
              <w:t>-1.11</w:t>
            </w:r>
          </w:p>
        </w:tc>
        <w:tc>
          <w:tcPr>
            <w:tcW w:type="dxa" w:w="1881"/>
          </w:tcPr>
          <w:p>
            <w:r/>
            <w:r>
              <w:rPr>
                <w:rFonts w:ascii="Times New Roman" w:hAnsi="Times New Roman" w:eastAsia="MS Mincho"/>
                <w:b w:val="0"/>
                <w:i w:val="0"/>
                <w:sz w:val="20"/>
              </w:rPr>
              <w:t>1.11</w:t>
            </w:r>
          </w:p>
        </w:tc>
      </w:tr>
      <w:tr>
        <w:tc>
          <w:tcPr>
            <w:tcW w:type="dxa" w:w="1881"/>
          </w:tcPr>
          <w:p>
            <w:r/>
            <w:r>
              <w:rPr>
                <w:rFonts w:ascii="Times New Roman" w:hAnsi="Times New Roman" w:eastAsia="MS Mincho"/>
                <w:b w:val="0"/>
                <w:i w:val="0"/>
                <w:sz w:val="20"/>
              </w:rPr>
              <w:t>Portugal</w:t>
            </w:r>
          </w:p>
        </w:tc>
        <w:tc>
          <w:tcPr>
            <w:tcW w:type="dxa" w:w="1881"/>
          </w:tcPr>
          <w:p>
            <w:r/>
            <w:r>
              <w:rPr>
                <w:rFonts w:ascii="Times New Roman" w:hAnsi="Times New Roman" w:eastAsia="MS Mincho"/>
                <w:b w:val="0"/>
                <w:i w:val="0"/>
                <w:sz w:val="20"/>
              </w:rPr>
              <w:t>PRT</w:t>
            </w:r>
          </w:p>
        </w:tc>
        <w:tc>
          <w:tcPr>
            <w:tcW w:type="dxa" w:w="1881"/>
          </w:tcPr>
          <w:p>
            <w:r/>
            <w:r>
              <w:rPr>
                <w:rFonts w:ascii="Times New Roman" w:hAnsi="Times New Roman" w:eastAsia="MS Mincho"/>
                <w:b w:val="0"/>
                <w:i w:val="0"/>
                <w:sz w:val="20"/>
              </w:rPr>
              <w:t>-2.56</w:t>
            </w:r>
          </w:p>
        </w:tc>
        <w:tc>
          <w:tcPr>
            <w:tcW w:type="dxa" w:w="1881"/>
          </w:tcPr>
          <w:p>
            <w:r/>
            <w:r>
              <w:rPr>
                <w:rFonts w:ascii="Times New Roman" w:hAnsi="Times New Roman" w:eastAsia="MS Mincho"/>
                <w:b w:val="0"/>
                <w:i w:val="0"/>
                <w:sz w:val="20"/>
              </w:rPr>
              <w:t>-0.95</w:t>
            </w:r>
          </w:p>
        </w:tc>
        <w:tc>
          <w:tcPr>
            <w:tcW w:type="dxa" w:w="1881"/>
          </w:tcPr>
          <w:p>
            <w:r/>
            <w:r>
              <w:rPr>
                <w:rFonts w:ascii="Times New Roman" w:hAnsi="Times New Roman" w:eastAsia="MS Mincho"/>
                <w:b w:val="0"/>
                <w:i w:val="0"/>
                <w:sz w:val="20"/>
              </w:rPr>
              <w:t>0.95</w:t>
            </w:r>
          </w:p>
        </w:tc>
      </w:tr>
      <w:tr>
        <w:tc>
          <w:tcPr>
            <w:tcW w:type="dxa" w:w="1881"/>
          </w:tcPr>
          <w:p>
            <w:r/>
            <w:r>
              <w:rPr>
                <w:rFonts w:ascii="Times New Roman" w:hAnsi="Times New Roman" w:eastAsia="MS Mincho"/>
                <w:b w:val="0"/>
                <w:i w:val="0"/>
                <w:sz w:val="20"/>
              </w:rPr>
              <w:t>Italy</w:t>
            </w:r>
          </w:p>
        </w:tc>
        <w:tc>
          <w:tcPr>
            <w:tcW w:type="dxa" w:w="1881"/>
          </w:tcPr>
          <w:p>
            <w:r/>
            <w:r>
              <w:rPr>
                <w:rFonts w:ascii="Times New Roman" w:hAnsi="Times New Roman" w:eastAsia="MS Mincho"/>
                <w:b w:val="0"/>
                <w:i w:val="0"/>
                <w:sz w:val="20"/>
              </w:rPr>
              <w:t>ITA</w:t>
            </w:r>
          </w:p>
        </w:tc>
        <w:tc>
          <w:tcPr>
            <w:tcW w:type="dxa" w:w="1881"/>
          </w:tcPr>
          <w:p>
            <w:r/>
            <w:r>
              <w:rPr>
                <w:rFonts w:ascii="Times New Roman" w:hAnsi="Times New Roman" w:eastAsia="MS Mincho"/>
                <w:b w:val="0"/>
                <w:i w:val="0"/>
                <w:sz w:val="20"/>
              </w:rPr>
              <w:t>-2.06</w:t>
            </w:r>
          </w:p>
        </w:tc>
        <w:tc>
          <w:tcPr>
            <w:tcW w:type="dxa" w:w="1881"/>
          </w:tcPr>
          <w:p>
            <w:r/>
            <w:r>
              <w:rPr>
                <w:rFonts w:ascii="Times New Roman" w:hAnsi="Times New Roman" w:eastAsia="MS Mincho"/>
                <w:b w:val="0"/>
                <w:i w:val="0"/>
                <w:sz w:val="20"/>
              </w:rPr>
              <w:t>-0.91</w:t>
            </w:r>
          </w:p>
        </w:tc>
        <w:tc>
          <w:tcPr>
            <w:tcW w:type="dxa" w:w="1881"/>
          </w:tcPr>
          <w:p>
            <w:r/>
            <w:r>
              <w:rPr>
                <w:rFonts w:ascii="Times New Roman" w:hAnsi="Times New Roman" w:eastAsia="MS Mincho"/>
                <w:b w:val="0"/>
                <w:i w:val="0"/>
                <w:sz w:val="20"/>
              </w:rPr>
              <w:t>0.91</w:t>
            </w:r>
          </w:p>
        </w:tc>
      </w:tr>
      <w:tr>
        <w:tc>
          <w:tcPr>
            <w:tcW w:type="dxa" w:w="1881"/>
          </w:tcPr>
          <w:p>
            <w:r/>
            <w:r>
              <w:rPr>
                <w:rFonts w:ascii="Times New Roman" w:hAnsi="Times New Roman" w:eastAsia="MS Mincho"/>
                <w:b w:val="0"/>
                <w:i w:val="0"/>
                <w:sz w:val="20"/>
              </w:rPr>
              <w:t>Germany</w:t>
            </w:r>
          </w:p>
        </w:tc>
        <w:tc>
          <w:tcPr>
            <w:tcW w:type="dxa" w:w="1881"/>
          </w:tcPr>
          <w:p>
            <w:r/>
            <w:r>
              <w:rPr>
                <w:rFonts w:ascii="Times New Roman" w:hAnsi="Times New Roman" w:eastAsia="MS Mincho"/>
                <w:b w:val="0"/>
                <w:i w:val="0"/>
                <w:sz w:val="20"/>
              </w:rPr>
              <w:t>DEU</w:t>
            </w:r>
          </w:p>
        </w:tc>
        <w:tc>
          <w:tcPr>
            <w:tcW w:type="dxa" w:w="1881"/>
          </w:tcPr>
          <w:p>
            <w:r/>
            <w:r>
              <w:rPr>
                <w:rFonts w:ascii="Times New Roman" w:hAnsi="Times New Roman" w:eastAsia="MS Mincho"/>
                <w:b w:val="0"/>
                <w:i w:val="0"/>
                <w:sz w:val="20"/>
              </w:rPr>
              <w:t>-1.88</w:t>
            </w:r>
          </w:p>
        </w:tc>
        <w:tc>
          <w:tcPr>
            <w:tcW w:type="dxa" w:w="1881"/>
          </w:tcPr>
          <w:p>
            <w:r/>
            <w:r>
              <w:rPr>
                <w:rFonts w:ascii="Times New Roman" w:hAnsi="Times New Roman" w:eastAsia="MS Mincho"/>
                <w:b w:val="0"/>
                <w:i w:val="0"/>
                <w:sz w:val="20"/>
              </w:rPr>
              <w:t>-0.66</w:t>
            </w:r>
          </w:p>
        </w:tc>
        <w:tc>
          <w:tcPr>
            <w:tcW w:type="dxa" w:w="1881"/>
          </w:tcPr>
          <w:p>
            <w:r/>
            <w:r>
              <w:rPr>
                <w:rFonts w:ascii="Times New Roman" w:hAnsi="Times New Roman" w:eastAsia="MS Mincho"/>
                <w:b w:val="0"/>
                <w:i w:val="0"/>
                <w:sz w:val="20"/>
              </w:rPr>
              <w:t>0.66</w:t>
            </w:r>
          </w:p>
        </w:tc>
      </w:tr>
      <w:tr>
        <w:tc>
          <w:tcPr>
            <w:tcW w:type="dxa" w:w="1881"/>
          </w:tcPr>
          <w:p>
            <w:r/>
            <w:r>
              <w:rPr>
                <w:rFonts w:ascii="Times New Roman" w:hAnsi="Times New Roman" w:eastAsia="MS Mincho"/>
                <w:b w:val="0"/>
                <w:i w:val="0"/>
                <w:sz w:val="20"/>
              </w:rPr>
              <w:t>Japan</w:t>
            </w:r>
          </w:p>
        </w:tc>
        <w:tc>
          <w:tcPr>
            <w:tcW w:type="dxa" w:w="1881"/>
          </w:tcPr>
          <w:p>
            <w:r/>
            <w:r>
              <w:rPr>
                <w:rFonts w:ascii="Times New Roman" w:hAnsi="Times New Roman" w:eastAsia="MS Mincho"/>
                <w:b w:val="0"/>
                <w:i w:val="0"/>
                <w:sz w:val="20"/>
              </w:rPr>
              <w:t>JPN</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-0.49</w:t>
            </w:r>
          </w:p>
        </w:tc>
        <w:tc>
          <w:tcPr>
            <w:tcW w:type="dxa" w:w="1881"/>
          </w:tcPr>
          <w:p>
            <w:r/>
            <w:r>
              <w:rPr>
                <w:rFonts w:ascii="Times New Roman" w:hAnsi="Times New Roman" w:eastAsia="MS Mincho"/>
                <w:b w:val="0"/>
                <w:i w:val="0"/>
                <w:sz w:val="20"/>
              </w:rPr>
              <w:t>0.49</w:t>
            </w:r>
          </w:p>
        </w:tc>
      </w:tr>
      <w:tr>
        <w:tc>
          <w:tcPr>
            <w:tcW w:type="dxa" w:w="1881"/>
          </w:tcPr>
          <w:p>
            <w:r/>
            <w:r>
              <w:rPr>
                <w:rFonts w:ascii="Times New Roman" w:hAnsi="Times New Roman" w:eastAsia="MS Mincho"/>
                <w:b w:val="0"/>
                <w:i w:val="0"/>
                <w:sz w:val="20"/>
              </w:rPr>
              <w:t>Greece</w:t>
            </w:r>
          </w:p>
        </w:tc>
        <w:tc>
          <w:tcPr>
            <w:tcW w:type="dxa" w:w="1881"/>
          </w:tcPr>
          <w:p>
            <w:r/>
            <w:r>
              <w:rPr>
                <w:rFonts w:ascii="Times New Roman" w:hAnsi="Times New Roman" w:eastAsia="MS Mincho"/>
                <w:b w:val="0"/>
                <w:i w:val="0"/>
                <w:sz w:val="20"/>
              </w:rPr>
              <w:t>GRC</w:t>
            </w:r>
          </w:p>
        </w:tc>
        <w:tc>
          <w:tcPr>
            <w:tcW w:type="dxa" w:w="1881"/>
          </w:tcPr>
          <w:p>
            <w:r/>
            <w:r>
              <w:rPr>
                <w:rFonts w:ascii="Times New Roman" w:hAnsi="Times New Roman" w:eastAsia="MS Mincho"/>
                <w:b w:val="0"/>
                <w:i w:val="0"/>
                <w:sz w:val="20"/>
              </w:rPr>
              <w:t>-0.58</w:t>
            </w:r>
          </w:p>
        </w:tc>
        <w:tc>
          <w:tcPr>
            <w:tcW w:type="dxa" w:w="1881"/>
          </w:tcPr>
          <w:p>
            <w:r/>
            <w:r>
              <w:rPr>
                <w:rFonts w:ascii="Times New Roman" w:hAnsi="Times New Roman" w:eastAsia="MS Mincho"/>
                <w:b w:val="0"/>
                <w:i w:val="0"/>
                <w:sz w:val="20"/>
              </w:rPr>
              <w:t>-0.3</w:t>
            </w:r>
          </w:p>
        </w:tc>
        <w:tc>
          <w:tcPr>
            <w:tcW w:type="dxa" w:w="1881"/>
          </w:tcPr>
          <w:p>
            <w:r/>
            <w:r>
              <w:rPr>
                <w:rFonts w:ascii="Times New Roman" w:hAnsi="Times New Roman" w:eastAsia="MS Mincho"/>
                <w:b w:val="0"/>
                <w:i w:val="0"/>
                <w:sz w:val="20"/>
              </w:rPr>
              <w:t>0.3</w:t>
            </w:r>
          </w:p>
        </w:tc>
      </w:tr>
      <w:tr>
        <w:tc>
          <w:tcPr>
            <w:tcW w:type="dxa" w:w="1881"/>
          </w:tcPr>
          <w:p>
            <w:r/>
            <w:r>
              <w:rPr>
                <w:rFonts w:ascii="Times New Roman" w:hAnsi="Times New Roman" w:eastAsia="MS Mincho"/>
                <w:b w:val="0"/>
                <w:i w:val="0"/>
                <w:sz w:val="20"/>
              </w:rPr>
              <w:t>Median</w:t>
            </w:r>
          </w:p>
        </w:tc>
        <w:tc>
          <w:tcPr>
            <w:tcW w:type="dxa" w:w="1881"/>
          </w:tcPr>
          <w:p>
            <w:r/>
            <w:r>
              <w:rPr>
                <w:rFonts w:ascii="Times New Roman" w:hAnsi="Times New Roman" w:eastAsia="MS Mincho"/>
                <w:b w:val="0"/>
                <w:i w:val="0"/>
                <w:sz w:val="20"/>
              </w:rPr>
              <w:t>nan</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bl>
    <w:p>
      <w:pPr>
        <w:spacing w:after="120" w:line="360" w:lineRule="auto"/>
        <w:ind w:firstLine="480"/>
      </w:pPr>
      <w:r>
        <w:rPr>
          <w:rFonts w:ascii="Times New Roman" w:hAnsi="Times New Roman" w:eastAsia="MS Mincho"/>
          <w:b w:val="0"/>
          <w:i w:val="0"/>
          <w:sz w:val="24"/>
        </w:rPr>
        <w:t>Table 5 and the right panel of Figure 10 quantify the cross-country distribution. Over 2010–2019, the median K-level gap is −4.3 % (IQR: −5.3 % to −3.8 %). The five most affected economies — Ireland (−9.2 %), Costa Rica (−7.3 %), Republic of Korea (−7.1 %), Slovakia (−6.7 %), Israel (−6.4 %) — are precisely those with the largest recent shifts toward intellectual-property and ICT investment. The five least affected — Greece (−0.6 %), Japan (−1.2 %), Germany (−1.9 %), Italy (−2.1 %), Portugal (−2.6 %) — are those with more stable investment mixes.</w:t>
      </w:r>
    </w:p>
    <w:p>
      <w:pPr>
        <w:spacing w:before="360" w:after="120"/>
        <w:jc w:val="center"/>
      </w:pPr>
      <w:r>
        <w:drawing>
          <wp:inline xmlns:a="http://schemas.openxmlformats.org/drawingml/2006/main" xmlns:pic="http://schemas.openxmlformats.org/drawingml/2006/picture">
            <wp:extent cx="5669280" cy="4231998"/>
            <wp:docPr id="11" name="Picture 11"/>
            <wp:cNvGraphicFramePr>
              <a:graphicFrameLocks noChangeAspect="1"/>
            </wp:cNvGraphicFramePr>
            <a:graphic>
              <a:graphicData uri="http://schemas.openxmlformats.org/drawingml/2006/picture">
                <pic:pic>
                  <pic:nvPicPr>
                    <pic:cNvPr id="0" name="fig11_tfp_consequence_en.png"/>
                    <pic:cNvPicPr/>
                  </pic:nvPicPr>
                  <pic:blipFill>
                    <a:blip r:embed="rId19"/>
                    <a:stretch>
                      <a:fillRect/>
                    </a:stretch>
                  </pic:blipFill>
                  <pic:spPr>
                    <a:xfrm>
                      <a:off x="0" y="0"/>
                      <a:ext cx="5669280" cy="4231998"/>
                    </a:xfrm>
                    <a:prstGeom prst="rect"/>
                  </pic:spPr>
                </pic:pic>
              </a:graphicData>
            </a:graphic>
          </wp:inline>
        </w:drawing>
      </w:r>
    </w:p>
    <w:p>
      <w:pPr>
        <w:spacing w:after="240"/>
        <w:jc w:val="center"/>
      </w:pPr>
      <w:r>
        <w:rPr>
          <w:rFonts w:ascii="Times New Roman" w:hAnsi="Times New Roman" w:eastAsia="MS Mincho"/>
          <w:b/>
          <w:i w:val="0"/>
          <w:sz w:val="20"/>
        </w:rPr>
        <w:t xml:space="preserve">Fig. 11. </w:t>
      </w:r>
      <w:r>
        <w:rPr>
          <w:rFonts w:ascii="Times New Roman" w:hAnsi="Times New Roman" w:eastAsia="MS Mincho"/>
          <w:b w:val="0"/>
          <w:i w:val="0"/>
          <w:sz w:val="20"/>
        </w:rPr>
        <w:t>Measurement consequence: K-level change vs TFP shift (country means, 2010-2019).</w:t>
      </w:r>
    </w:p>
    <w:p>
      <w:pPr>
        <w:spacing w:after="120" w:line="360" w:lineRule="auto"/>
        <w:ind w:firstLine="480"/>
      </w:pPr>
      <w:r>
        <w:rPr>
          <w:rFonts w:ascii="Times New Roman" w:hAnsi="Times New Roman" w:eastAsia="MS Mincho"/>
          <w:b w:val="0"/>
          <w:i/>
          <w:sz w:val="24"/>
        </w:rPr>
        <w:t>TFP consequences.</w:t>
      </w:r>
      <w:r>
        <w:rPr>
          <w:rFonts w:ascii="Times New Roman" w:hAnsi="Times New Roman" w:eastAsia="MS Mincho"/>
          <w:b w:val="0"/>
          <w:i w:val="0"/>
          <w:sz w:val="24"/>
        </w:rPr>
        <w:t xml:space="preserve"> Because TFP</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log Y − </w:t>
      </w:r>
      <w:r>
        <w:rPr>
          <w:rFonts w:ascii="Times New Roman" w:hAnsi="Times New Roman" w:eastAsia="MS Mincho"/>
          <w:b w:val="0"/>
          <w:i/>
          <w:sz w:val="24"/>
        </w:rPr>
        <w:t>α</w:t>
      </w:r>
      <w:r>
        <w:rPr>
          <w:rFonts w:ascii="Times New Roman" w:hAnsi="Times New Roman" w:eastAsia="MS Mincho"/>
          <w:b w:val="0"/>
          <w:i w:val="0"/>
          <w:sz w:val="24"/>
        </w:rPr>
        <w:t xml:space="preserve"> log K</w:t>
      </w:r>
      <w:r>
        <w:rPr>
          <w:rFonts w:ascii="Times New Roman" w:hAnsi="Times New Roman" w:eastAsia="MS Mincho"/>
          <w:b w:val="0"/>
          <w:i/>
          <w:sz w:val="24"/>
          <w:vertAlign w:val="subscript"/>
        </w:rPr>
        <w:t>o</w:t>
      </w:r>
      <w:r>
        <w:rPr>
          <w:rFonts w:ascii="Times New Roman" w:hAnsi="Times New Roman" w:eastAsia="MS Mincho"/>
          <w:b w:val="0"/>
          <w:i w:val="0"/>
          <w:sz w:val="24"/>
        </w:rPr>
        <w:t>bs − (1−</w:t>
      </w:r>
      <w:r>
        <w:rPr>
          <w:rFonts w:ascii="Times New Roman" w:hAnsi="Times New Roman" w:eastAsia="MS Mincho"/>
          <w:b w:val="0"/>
          <w:i/>
          <w:sz w:val="24"/>
        </w:rPr>
        <w:t>α</w:t>
      </w:r>
      <w:r>
        <w:rPr>
          <w:rFonts w:ascii="Times New Roman" w:hAnsi="Times New Roman" w:eastAsia="MS Mincho"/>
          <w:b w:val="0"/>
          <w:i w:val="0"/>
          <w:sz w:val="24"/>
        </w:rPr>
        <w:t>) log LH and K</w:t>
      </w:r>
      <w:r>
        <w:rPr>
          <w:rFonts w:ascii="Times New Roman" w:hAnsi="Times New Roman" w:eastAsia="MS Mincho"/>
          <w:b w:val="0"/>
          <w:i/>
          <w:sz w:val="24"/>
          <w:vertAlign w:val="subscript"/>
        </w:rPr>
        <w:t>o</w:t>
      </w:r>
      <w:r>
        <w:rPr>
          <w:rFonts w:ascii="Times New Roman" w:hAnsi="Times New Roman" w:eastAsia="MS Mincho"/>
          <w:b w:val="0"/>
          <w:i w:val="0"/>
          <w:sz w:val="24"/>
        </w:rPr>
        <w:t>bs &lt; K</w:t>
      </w:r>
      <w:r>
        <w:rPr>
          <w:rFonts w:ascii="Times New Roman" w:hAnsi="Times New Roman" w:eastAsia="MS Mincho"/>
          <w:b w:val="0"/>
          <w:i/>
          <w:sz w:val="24"/>
          <w:vertAlign w:val="subscript"/>
        </w:rPr>
        <w:t>M</w:t>
      </w:r>
      <w:r>
        <w:rPr>
          <w:rFonts w:ascii="Times New Roman" w:hAnsi="Times New Roman" w:eastAsia="MS Mincho"/>
          <w:b w:val="0"/>
          <w:i w:val="0"/>
          <w:sz w:val="24"/>
        </w:rPr>
        <w:t>0, it follows that TFP</w:t>
      </w:r>
      <w:r>
        <w:rPr>
          <w:rFonts w:ascii="Times New Roman" w:hAnsi="Times New Roman" w:eastAsia="MS Mincho"/>
          <w:b w:val="0"/>
          <w:i/>
          <w:sz w:val="24"/>
          <w:vertAlign w:val="subscript"/>
        </w:rPr>
        <w:t>o</w:t>
      </w:r>
      <w:r>
        <w:rPr>
          <w:rFonts w:ascii="Times New Roman" w:hAnsi="Times New Roman" w:eastAsia="MS Mincho"/>
          <w:b w:val="0"/>
          <w:i w:val="0"/>
          <w:sz w:val="24"/>
        </w:rPr>
        <w:t>bs &gt; TFP</w:t>
      </w:r>
      <w:r>
        <w:rPr>
          <w:rFonts w:ascii="Times New Roman" w:hAnsi="Times New Roman" w:eastAsia="MS Mincho"/>
          <w:b w:val="0"/>
          <w:i/>
          <w:sz w:val="24"/>
          <w:vertAlign w:val="subscript"/>
        </w:rPr>
        <w:t>M</w:t>
      </w:r>
      <w:r>
        <w:rPr>
          <w:rFonts w:ascii="Times New Roman" w:hAnsi="Times New Roman" w:eastAsia="MS Mincho"/>
          <w:b w:val="0"/>
          <w:i w:val="0"/>
          <w:sz w:val="24"/>
        </w:rPr>
        <w:t xml:space="preserve">0: the standard PIM </w:t>
      </w:r>
      <w:r>
        <w:rPr>
          <w:rFonts w:ascii="Times New Roman" w:hAnsi="Times New Roman" w:eastAsia="MS Mincho"/>
          <w:b w:val="0"/>
          <w:i/>
          <w:sz w:val="24"/>
        </w:rPr>
        <w:t>understates</w:t>
      </w:r>
      <w:r>
        <w:rPr>
          <w:rFonts w:ascii="Times New Roman" w:hAnsi="Times New Roman" w:eastAsia="MS Mincho"/>
          <w:b w:val="0"/>
          <w:i w:val="0"/>
          <w:sz w:val="24"/>
        </w:rPr>
        <w:t xml:space="preserve"> TFP by absorbing productive capacity into an inflated capital measure. The median TFP shift is −1.7 percentage points (Figure 11), with a tight cross-country relationship between </w:t>
      </w:r>
      <w:r>
        <w:rPr>
          <w:rFonts w:ascii="Times New Roman" w:hAnsi="Times New Roman" w:eastAsia="MS Mincho"/>
          <w:b w:val="0"/>
          <w:i/>
          <w:sz w:val="24"/>
        </w:rPr>
        <w:t>Δ</w:t>
      </w:r>
      <w:r>
        <w:rPr>
          <w:rFonts w:ascii="Times New Roman" w:hAnsi="Times New Roman" w:eastAsia="MS Mincho"/>
          <w:b w:val="0"/>
          <w:i w:val="0"/>
          <w:sz w:val="24"/>
        </w:rPr>
        <w:t xml:space="preserve">K and </w:t>
      </w:r>
      <w:r>
        <w:rPr>
          <w:rFonts w:ascii="Times New Roman" w:hAnsi="Times New Roman" w:eastAsia="MS Mincho"/>
          <w:b w:val="0"/>
          <w:i/>
          <w:sz w:val="24"/>
        </w:rPr>
        <w:t>Δ</w:t>
      </w:r>
      <w:r>
        <w:rPr>
          <w:rFonts w:ascii="Times New Roman" w:hAnsi="Times New Roman" w:eastAsia="MS Mincho"/>
          <w:b w:val="0"/>
          <w:i w:val="0"/>
          <w:sz w:val="24"/>
        </w:rPr>
        <w:t>TFP (slope ≈ −</w:t>
      </w:r>
      <w:r>
        <w:rPr>
          <w:rFonts w:ascii="Times New Roman" w:hAnsi="Times New Roman" w:eastAsia="MS Mincho"/>
          <w:b w:val="0"/>
          <w:i/>
          <w:sz w:val="24"/>
        </w:rPr>
        <w:t>α</w:t>
      </w:r>
      <w:r>
        <w:rPr>
          <w:rFonts w:ascii="Times New Roman" w:hAnsi="Times New Roman" w:eastAsia="MS Mincho"/>
          <w:b w:val="0"/>
          <w:i w:val="0"/>
          <w:sz w:val="24"/>
        </w:rPr>
        <w:t>). For Ireland the shift reaches −4.6 pp, meaning that nearly five percentage points of what the conventional Solow residual attributes to capital deepening is actually a tempo artefact.</w:t>
      </w:r>
    </w:p>
    <w:p>
      <w:pPr>
        <w:spacing w:before="360" w:after="120"/>
        <w:jc w:val="center"/>
      </w:pPr>
      <w:r>
        <w:drawing>
          <wp:inline xmlns:a="http://schemas.openxmlformats.org/drawingml/2006/main" xmlns:pic="http://schemas.openxmlformats.org/drawingml/2006/picture">
            <wp:extent cx="5669280" cy="2332852"/>
            <wp:docPr id="12" name="Picture 12"/>
            <wp:cNvGraphicFramePr>
              <a:graphicFrameLocks noChangeAspect="1"/>
            </wp:cNvGraphicFramePr>
            <a:graphic>
              <a:graphicData uri="http://schemas.openxmlformats.org/drawingml/2006/picture">
                <pic:pic>
                  <pic:nvPicPr>
                    <pic:cNvPr id="0" name="fig12_labor_share_en.png"/>
                    <pic:cNvPicPr/>
                  </pic:nvPicPr>
                  <pic:blipFill>
                    <a:blip r:embed="rId20"/>
                    <a:stretch>
                      <a:fillRect/>
                    </a:stretch>
                  </pic:blipFill>
                  <pic:spPr>
                    <a:xfrm>
                      <a:off x="0" y="0"/>
                      <a:ext cx="5669280" cy="2332852"/>
                    </a:xfrm>
                    <a:prstGeom prst="rect"/>
                  </pic:spPr>
                </pic:pic>
              </a:graphicData>
            </a:graphic>
          </wp:inline>
        </w:drawing>
      </w:r>
    </w:p>
    <w:p>
      <w:pPr>
        <w:spacing w:after="240"/>
        <w:jc w:val="center"/>
      </w:pPr>
      <w:r>
        <w:rPr>
          <w:rFonts w:ascii="Times New Roman" w:hAnsi="Times New Roman" w:eastAsia="MS Mincho"/>
          <w:b/>
          <w:i w:val="0"/>
          <w:sz w:val="20"/>
        </w:rPr>
        <w:t xml:space="preserve">Fig. 12. </w:t>
      </w:r>
      <w:r>
        <w:rPr>
          <w:rFonts w:ascii="Times New Roman" w:hAnsi="Times New Roman" w:eastAsia="MS Mincho"/>
          <w:b w:val="0"/>
          <w:i w:val="0"/>
          <w:sz w:val="20"/>
        </w:rPr>
        <w:t>Implied labour-share correction from tempo-adjusted capital (country means, 2010-2019).</w:t>
      </w:r>
    </w:p>
    <w:p>
      <w:pPr>
        <w:spacing w:after="120" w:line="360" w:lineRule="auto"/>
        <w:ind w:firstLine="480"/>
      </w:pPr>
      <w:r>
        <w:rPr>
          <w:rFonts w:ascii="Times New Roman" w:hAnsi="Times New Roman" w:eastAsia="MS Mincho"/>
          <w:b w:val="0"/>
          <w:i/>
          <w:sz w:val="24"/>
        </w:rPr>
        <w:t>Labour-share consequences.</w:t>
      </w:r>
      <w:r>
        <w:rPr>
          <w:rFonts w:ascii="Times New Roman" w:hAnsi="Times New Roman" w:eastAsia="MS Mincho"/>
          <w:b w:val="0"/>
          <w:i w:val="0"/>
          <w:sz w:val="24"/>
        </w:rPr>
        <w:t xml:space="preserve"> If the capital stock is overstated, the capital contribution </w:t>
      </w:r>
      <w:r>
        <w:rPr>
          <w:rFonts w:ascii="Times New Roman" w:hAnsi="Times New Roman" w:eastAsia="MS Mincho"/>
          <w:b w:val="0"/>
          <w:i/>
          <w:sz w:val="24"/>
        </w:rPr>
        <w:t>α</w:t>
      </w:r>
      <w:r>
        <w:rPr>
          <w:rFonts w:ascii="Times New Roman" w:hAnsi="Times New Roman" w:eastAsia="MS Mincho"/>
          <w:b w:val="0"/>
          <w:i w:val="0"/>
          <w:sz w:val="24"/>
        </w:rPr>
        <w:t xml:space="preserve"> log K absorbs variation that should be attributed to labour or TFP, mechanically depressing the residual labour share. Correcting K downward by </w:t>
      </w:r>
      <w:r>
        <w:rPr>
          <w:rFonts w:ascii="Times New Roman" w:hAnsi="Times New Roman" w:eastAsia="MS Mincho"/>
          <w:b w:val="0"/>
          <w:i/>
          <w:sz w:val="24"/>
        </w:rPr>
        <w:t>δ</w:t>
      </w:r>
      <w:r>
        <w:rPr>
          <w:rFonts w:ascii="Times New Roman" w:hAnsi="Times New Roman" w:eastAsia="MS Mincho"/>
          <w:b w:val="0"/>
          <w:i w:val="0"/>
          <w:sz w:val="24"/>
        </w:rPr>
        <w:t xml:space="preserve"> log K shifts the implied labour share upward by approximately </w:t>
      </w:r>
      <w:r>
        <w:rPr>
          <w:rFonts w:ascii="Times New Roman" w:hAnsi="Times New Roman" w:eastAsia="MS Mincho"/>
          <w:b w:val="0"/>
          <w:i/>
          <w:sz w:val="24"/>
        </w:rPr>
        <w:t>α</w:t>
      </w:r>
      <w:r>
        <w:rPr>
          <w:rFonts w:ascii="Times New Roman" w:hAnsi="Times New Roman" w:eastAsia="MS Mincho"/>
          <w:b w:val="0"/>
          <w:i w:val="0"/>
          <w:sz w:val="24"/>
        </w:rPr>
        <w:t xml:space="preserve"> × |</w:t>
      </w:r>
      <w:r>
        <w:rPr>
          <w:rFonts w:ascii="Times New Roman" w:hAnsi="Times New Roman" w:eastAsia="MS Mincho"/>
          <w:b w:val="0"/>
          <w:i/>
          <w:sz w:val="24"/>
        </w:rPr>
        <w:t>δ</w:t>
      </w:r>
      <w:r>
        <w:rPr>
          <w:rFonts w:ascii="Times New Roman" w:hAnsi="Times New Roman" w:eastAsia="MS Mincho"/>
          <w:b w:val="0"/>
          <w:i w:val="0"/>
          <w:sz w:val="24"/>
        </w:rPr>
        <w:t xml:space="preserve"> log K| percentage points. The median upward shift is 1.7 pp (IQR: 1.4–2.7 pp; Figure 12). For the Republic of Korea the shift is 3.1 pp, for Israel 2.8 pp. These are economically meaningful magnitudes in the context of the declining-labour-share debate (Karabarbounis and Neiman, 2014): a portion of the measured decline in labour shares may reflect not a genuine shift of income from labour to capital but a measurement artefact arising from the failure to account for investment gestation lags. This finding reframes the declining-labour-share puzzle: part of the documented secular fall in labour shares across advanced economies may simply be an artefact of treating long-gestation investment as if it were instantly productive.</w:t>
      </w:r>
    </w:p>
    <w:p>
      <w:pPr>
        <w:spacing w:after="120" w:line="360" w:lineRule="auto"/>
        <w:ind w:firstLine="480"/>
      </w:pPr>
      <w:r>
        <w:rPr>
          <w:rFonts w:ascii="Times New Roman" w:hAnsi="Times New Roman" w:eastAsia="MS Mincho"/>
          <w:b w:val="0"/>
          <w:i/>
          <w:sz w:val="24"/>
        </w:rPr>
        <w:t>Investment composition and the business cycle.</w:t>
      </w:r>
      <w:r>
        <w:rPr>
          <w:rFonts w:ascii="Times New Roman" w:hAnsi="Times New Roman" w:eastAsia="MS Mincho"/>
          <w:b w:val="0"/>
          <w:i w:val="0"/>
          <w:sz w:val="24"/>
        </w:rPr>
        <w:t xml:space="preserve"> The K-level gap is not constant over time but co-moves with the investment cycle. During expansions, firms undertake more complex, long-gestation projects (software platforms, R&amp;D programmes, infrastructure); during contractions, investment retreats to short-lead maintenance and replacement. The observable </w:t>
      </w:r>
      <w:r>
        <w:rPr>
          <w:rFonts w:ascii="Times New Roman" w:hAnsi="Times New Roman" w:eastAsia="MS Mincho"/>
          <w:b w:val="0"/>
          <w:i/>
          <w:sz w:val="24"/>
        </w:rPr>
        <w:t>μ</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therefore rises in booms and falls in recessions, amplifying the tempo effect procyclically. This means the standard PIM systematically </w:t>
      </w:r>
      <w:r>
        <w:rPr>
          <w:rFonts w:ascii="Times New Roman" w:hAnsi="Times New Roman" w:eastAsia="MS Mincho"/>
          <w:b w:val="0"/>
          <w:i/>
          <w:sz w:val="24"/>
        </w:rPr>
        <w:t>overstates</w:t>
      </w:r>
      <w:r>
        <w:rPr>
          <w:rFonts w:ascii="Times New Roman" w:hAnsi="Times New Roman" w:eastAsia="MS Mincho"/>
          <w:b w:val="0"/>
          <w:i w:val="0"/>
          <w:sz w:val="24"/>
        </w:rPr>
        <w:t xml:space="preserve"> the capital stock in booms (when long-gestation investment is being counted before completion) and </w:t>
      </w:r>
      <w:r>
        <w:rPr>
          <w:rFonts w:ascii="Times New Roman" w:hAnsi="Times New Roman" w:eastAsia="MS Mincho"/>
          <w:b w:val="0"/>
          <w:i/>
          <w:sz w:val="24"/>
        </w:rPr>
        <w:t>understates</w:t>
      </w:r>
      <w:r>
        <w:rPr>
          <w:rFonts w:ascii="Times New Roman" w:hAnsi="Times New Roman" w:eastAsia="MS Mincho"/>
          <w:b w:val="0"/>
          <w:i w:val="0"/>
          <w:sz w:val="24"/>
        </w:rPr>
        <w:t xml:space="preserve"> it in troughs (when the pipeline empties but past projects are completing). The procyclical bias in measured K translates to a countercyclical bias in measured TFP: TFP appears lower in booms and higher in recessions than it should, which may explain part of the well-documented countercyclicality of the Solow residual.</w:t>
      </w:r>
    </w:p>
    <w:p>
      <w:pPr>
        <w:spacing w:before="360" w:after="120" w:line="360" w:lineRule="auto"/>
      </w:pPr>
      <w:r>
        <w:rPr>
          <w:rFonts w:ascii="Times New Roman" w:hAnsi="Times New Roman" w:eastAsia="MS Mincho"/>
          <w:b/>
          <w:i w:val="0"/>
          <w:sz w:val="24"/>
        </w:rPr>
        <w:t>5.11 Solow-residual historical decomposition</w:t>
      </w:r>
    </w:p>
    <w:p>
      <w:pPr>
        <w:spacing w:before="360" w:after="120"/>
      </w:pPr>
      <w:r>
        <w:rPr>
          <w:rFonts w:ascii="Times New Roman" w:hAnsi="Times New Roman" w:eastAsia="MS Mincho"/>
          <w:b/>
          <w:i w:val="0"/>
          <w:sz w:val="22"/>
        </w:rPr>
        <w:t>Table 6.</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3435"/>
            <wp:docPr id="13" name="Picture 13"/>
            <wp:cNvGraphicFramePr>
              <a:graphicFrameLocks noChangeAspect="1"/>
            </wp:cNvGraphicFramePr>
            <a:graphic>
              <a:graphicData uri="http://schemas.openxmlformats.org/drawingml/2006/picture">
                <pic:pic>
                  <pic:nvPicPr>
                    <pic:cNvPr id="0" name="fig13_solow_decomp_en.png"/>
                    <pic:cNvPicPr/>
                  </pic:nvPicPr>
                  <pic:blipFill>
                    <a:blip r:embed="rId21"/>
                    <a:stretch>
                      <a:fillRect/>
                    </a:stretch>
                  </pic:blipFill>
                  <pic:spPr>
                    <a:xfrm>
                      <a:off x="0" y="0"/>
                      <a:ext cx="5669280" cy="3353435"/>
                    </a:xfrm>
                    <a:prstGeom prst="rect"/>
                  </pic:spPr>
                </pic:pic>
              </a:graphicData>
            </a:graphic>
          </wp:inline>
        </w:drawing>
      </w:r>
    </w:p>
    <w:p>
      <w:pPr>
        <w:spacing w:after="240"/>
        <w:jc w:val="center"/>
      </w:pPr>
      <w:r>
        <w:rPr>
          <w:rFonts w:ascii="Times New Roman" w:hAnsi="Times New Roman" w:eastAsia="MS Mincho"/>
          <w:b/>
          <w:i w:val="0"/>
          <w:sz w:val="20"/>
        </w:rPr>
        <w:t xml:space="preserve">Fig. 13. </w:t>
      </w:r>
      <w:r>
        <w:rPr>
          <w:rFonts w:ascii="Times New Roman" w:hAnsi="Times New Roman" w:eastAsia="MS Mincho"/>
          <w:b w:val="0"/>
          <w:i w:val="0"/>
          <w:sz w:val="20"/>
        </w:rPr>
        <w:t>Solow-residual decomposition: M0 vs tempo-adjusted (M2) vs joint (M4) for six representative countries.</w:t>
      </w:r>
    </w:p>
    <w:p>
      <w:pPr>
        <w:spacing w:after="120" w:line="360" w:lineRule="auto"/>
        <w:ind w:firstLine="480"/>
      </w:pPr>
      <w:r>
        <w:rPr>
          <w:rFonts w:ascii="Times New Roman" w:hAnsi="Times New Roman" w:eastAsia="MS Mincho"/>
          <w:b w:val="0"/>
          <w:i w:val="0"/>
          <w:sz w:val="24"/>
        </w:rPr>
        <w:t xml:space="preserve">The TFP variance decomposition complements the level analysis of Sect. 5.10. Under M0 the Solow residual is log A₀(t) = log Y − </w:t>
      </w:r>
      <w:r>
        <w:rPr>
          <w:rFonts w:ascii="Times New Roman" w:hAnsi="Times New Roman" w:eastAsia="MS Mincho"/>
          <w:b w:val="0"/>
          <w:i/>
          <w:sz w:val="24"/>
        </w:rPr>
        <w:t>α</w:t>
      </w:r>
      <w:r>
        <w:rPr>
          <w:rFonts w:ascii="Times New Roman" w:hAnsi="Times New Roman" w:eastAsia="MS Mincho"/>
          <w:b w:val="0"/>
          <w:i w:val="0"/>
          <w:sz w:val="24"/>
        </w:rPr>
        <w:t xml:space="preserve"> log K₀ − (1 − </w:t>
      </w:r>
      <w:r>
        <w:rPr>
          <w:rFonts w:ascii="Times New Roman" w:hAnsi="Times New Roman" w:eastAsia="MS Mincho"/>
          <w:b w:val="0"/>
          <w:i/>
          <w:sz w:val="24"/>
        </w:rPr>
        <w:t>α</w:t>
      </w:r>
      <w:r>
        <w:rPr>
          <w:rFonts w:ascii="Times New Roman" w:hAnsi="Times New Roman" w:eastAsia="MS Mincho"/>
          <w:b w:val="0"/>
          <w:i w:val="0"/>
          <w:sz w:val="24"/>
        </w:rPr>
        <w:t xml:space="preserve">) log LH, where K₀ is the instant PIM stock. Under M2 the residual becomes log A₂(t) = log Y − </w:t>
      </w:r>
      <w:r>
        <w:rPr>
          <w:rFonts w:ascii="Times New Roman" w:hAnsi="Times New Roman" w:eastAsia="MS Mincho"/>
          <w:b w:val="0"/>
          <w:i/>
          <w:sz w:val="24"/>
        </w:rPr>
        <w:t>α</w:t>
      </w:r>
      <w:r>
        <w:rPr>
          <w:rFonts w:ascii="Times New Roman" w:hAnsi="Times New Roman" w:eastAsia="MS Mincho"/>
          <w:b w:val="0"/>
          <w:i w:val="0"/>
          <w:sz w:val="24"/>
        </w:rPr>
        <w:t xml:space="preserve"> log K₂ − (1 − </w:t>
      </w:r>
      <w:r>
        <w:rPr>
          <w:rFonts w:ascii="Times New Roman" w:hAnsi="Times New Roman" w:eastAsia="MS Mincho"/>
          <w:b w:val="0"/>
          <w:i/>
          <w:sz w:val="24"/>
        </w:rPr>
        <w:t>α</w:t>
      </w:r>
      <w:r>
        <w:rPr>
          <w:rFonts w:ascii="Times New Roman" w:hAnsi="Times New Roman" w:eastAsia="MS Mincho"/>
          <w:b w:val="0"/>
          <w:i w:val="0"/>
          <w:sz w:val="24"/>
        </w:rPr>
        <w:t>) log LH, where K₂ is the tempo-drift PIM stock. Under M</w:t>
      </w:r>
      <w:r>
        <w:rPr>
          <w:rFonts w:ascii="Times New Roman" w:hAnsi="Times New Roman" w:eastAsia="MS Mincho"/>
          <w:b w:val="0"/>
          <w:i/>
          <w:sz w:val="24"/>
          <w:vertAlign w:val="subscript"/>
        </w:rPr>
        <w:t>o</w:t>
      </w:r>
      <w:r>
        <w:rPr>
          <w:rFonts w:ascii="Times New Roman" w:hAnsi="Times New Roman" w:eastAsia="MS Mincho"/>
          <w:b w:val="0"/>
          <w:i w:val="0"/>
          <w:sz w:val="24"/>
        </w:rPr>
        <w:t>bs the residual is log A</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 log Y − </w:t>
      </w:r>
      <w:r>
        <w:rPr>
          <w:rFonts w:ascii="Times New Roman" w:hAnsi="Times New Roman" w:eastAsia="MS Mincho"/>
          <w:b w:val="0"/>
          <w:i/>
          <w:sz w:val="24"/>
        </w:rPr>
        <w:t>α</w:t>
      </w:r>
      <w:r>
        <w:rPr>
          <w:rFonts w:ascii="Times New Roman" w:hAnsi="Times New Roman" w:eastAsia="MS Mincho"/>
          <w:b w:val="0"/>
          <w:i w:val="0"/>
          <w:sz w:val="24"/>
        </w:rPr>
        <w:t xml:space="preserve"> log K</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(1 − </w:t>
      </w:r>
      <w:r>
        <w:rPr>
          <w:rFonts w:ascii="Times New Roman" w:hAnsi="Times New Roman" w:eastAsia="MS Mincho"/>
          <w:b w:val="0"/>
          <w:i/>
          <w:sz w:val="24"/>
        </w:rPr>
        <w:t>α</w:t>
      </w:r>
      <w:r>
        <w:rPr>
          <w:rFonts w:ascii="Times New Roman" w:hAnsi="Times New Roman" w:eastAsia="MS Mincho"/>
          <w:b w:val="0"/>
          <w:i w:val="0"/>
          <w:sz w:val="24"/>
        </w:rPr>
        <w:t>) log LH, where K</w:t>
      </w:r>
      <w:r>
        <w:rPr>
          <w:rFonts w:ascii="Times New Roman" w:hAnsi="Times New Roman" w:eastAsia="MS Mincho"/>
          <w:b w:val="0"/>
          <w:i/>
          <w:sz w:val="24"/>
          <w:vertAlign w:val="subscript"/>
        </w:rPr>
        <w:t>o</w:t>
      </w:r>
      <w:r>
        <w:rPr>
          <w:rFonts w:ascii="Times New Roman" w:hAnsi="Times New Roman" w:eastAsia="MS Mincho"/>
          <w:b w:val="0"/>
          <w:i w:val="0"/>
          <w:sz w:val="24"/>
        </w:rPr>
        <w:t>bs is the observable-tempo PIM stock. The difference in growth-rate variance — Var(</w:t>
      </w:r>
      <w:r>
        <w:rPr>
          <w:rFonts w:ascii="Times New Roman" w:hAnsi="Times New Roman" w:eastAsia="MS Mincho"/>
          <w:b w:val="0"/>
          <w:i/>
          <w:sz w:val="24"/>
        </w:rPr>
        <w:t>Δ</w:t>
      </w:r>
      <w:r>
        <w:rPr>
          <w:rFonts w:ascii="Times New Roman" w:hAnsi="Times New Roman" w:eastAsia="MS Mincho"/>
          <w:b w:val="0"/>
          <w:i w:val="0"/>
          <w:sz w:val="24"/>
        </w:rPr>
        <w:t xml:space="preserve"> log A₀) versus Var(</w:t>
      </w:r>
      <w:r>
        <w:rPr>
          <w:rFonts w:ascii="Times New Roman" w:hAnsi="Times New Roman" w:eastAsia="MS Mincho"/>
          <w:b w:val="0"/>
          <w:i/>
          <w:sz w:val="24"/>
        </w:rPr>
        <w:t>Δ</w:t>
      </w:r>
      <w:r>
        <w:rPr>
          <w:rFonts w:ascii="Times New Roman" w:hAnsi="Times New Roman" w:eastAsia="MS Mincho"/>
          <w:b w:val="0"/>
          <w:i w:val="0"/>
          <w:sz w:val="24"/>
        </w:rPr>
        <w:t xml:space="preserve"> log A₂) or Var(</w:t>
      </w:r>
      <w:r>
        <w:rPr>
          <w:rFonts w:ascii="Times New Roman" w:hAnsi="Times New Roman" w:eastAsia="MS Mincho"/>
          <w:b w:val="0"/>
          <w:i/>
          <w:sz w:val="24"/>
        </w:rPr>
        <w:t>Δ</w:t>
      </w:r>
      <w:r>
        <w:rPr>
          <w:rFonts w:ascii="Times New Roman" w:hAnsi="Times New Roman" w:eastAsia="MS Mincho"/>
          <w:b w:val="0"/>
          <w:i w:val="0"/>
          <w:sz w:val="24"/>
        </w:rPr>
        <w:t xml:space="preserve"> log A</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measures how much TFP-growth variation is absorbed by the time-to-build correction. Across the 35 countries, the median variance reduction attributable to tempo drift alone (M0 → M2) is 2.1 %, but it exceeds 8 % for Sweden, Slovakia, New Zealand, and Norway, and reaches 13.8 % for New Zealand. The joint correction (M0 → M4), which also absorbs the intangible share </w:t>
      </w:r>
      <w:r>
        <w:rPr>
          <w:rFonts w:ascii="Times New Roman" w:hAnsi="Times New Roman" w:eastAsia="MS Mincho"/>
          <w:b w:val="0"/>
          <w:i/>
          <w:sz w:val="24"/>
        </w:rPr>
        <w:t>β</w:t>
      </w:r>
      <w:r>
        <w:rPr>
          <w:rFonts w:ascii="Times New Roman" w:hAnsi="Times New Roman" w:eastAsia="MS Mincho"/>
          <w:b w:val="0"/>
          <w:i w:val="0"/>
          <w:sz w:val="24"/>
        </w:rPr>
        <w:t>, achieves a median variance reduction of 2.7 %, with France (29.7 %), Luxembourg (14.6 %), Netherlands (10.7 %), and Italy (11.0 %) showing the largest shifts.</w:t>
      </w:r>
    </w:p>
    <w:p>
      <w:pPr>
        <w:spacing w:after="120" w:line="360" w:lineRule="auto"/>
        <w:ind w:firstLine="480"/>
      </w:pPr>
      <w:r>
        <w:rPr>
          <w:rFonts w:ascii="Times New Roman" w:hAnsi="Times New Roman" w:eastAsia="MS Mincho"/>
          <w:b w:val="0"/>
          <w:i w:val="0"/>
          <w:sz w:val="24"/>
        </w:rPr>
        <w:t xml:space="preserve">Figure 13 displays the time-series TFP paths for six representative countries: Japan, the United States, Germany, the Republic of Korea, the United Kingdom, and France. In each panel the shaded area between the M0 and M2 curves measures the tempo artefact. For France the M0 and M4 residuals diverge sharply after 2005, consistent with the large </w:t>
      </w:r>
      <w:r>
        <w:rPr>
          <w:rFonts w:ascii="Times New Roman" w:hAnsi="Times New Roman" w:eastAsia="MS Mincho"/>
          <w:b w:val="0"/>
          <w:i/>
          <w:sz w:val="24"/>
        </w:rPr>
        <w:t>β</w:t>
      </w:r>
      <w:r>
        <w:rPr>
          <w:rFonts w:ascii="Times New Roman" w:hAnsi="Times New Roman" w:eastAsia="MS Mincho"/>
          <w:b w:val="0"/>
          <w:i w:val="0"/>
          <w:sz w:val="24"/>
        </w:rPr>
        <w:t xml:space="preserve">̂ = 0.34 estimated for France (Table 2). The key finding is that these are not merely forecasting improvements: they represent genuine changes in </w:t>
      </w:r>
      <w:r>
        <w:rPr>
          <w:rFonts w:ascii="Times New Roman" w:hAnsi="Times New Roman" w:eastAsia="MS Mincho"/>
          <w:b w:val="0"/>
          <w:i/>
          <w:sz w:val="24"/>
        </w:rPr>
        <w:t>how much of output growth is attributed to capital versus productivity</w:t>
      </w:r>
      <w:r>
        <w:rPr>
          <w:rFonts w:ascii="Times New Roman" w:hAnsi="Times New Roman" w:eastAsia="MS Mincho"/>
          <w:b w:val="0"/>
          <w:i w:val="0"/>
          <w:sz w:val="24"/>
        </w:rPr>
        <w:t>.</w:t>
      </w:r>
    </w:p>
    <w:p>
      <w:pPr>
        <w:spacing w:before="360" w:after="120" w:line="360" w:lineRule="auto"/>
      </w:pPr>
      <w:r>
        <w:rPr>
          <w:rFonts w:ascii="Times New Roman" w:hAnsi="Times New Roman" w:eastAsia="MS Mincho"/>
          <w:b/>
          <w:i w:val="0"/>
          <w:sz w:val="24"/>
        </w:rPr>
        <w:t>5.12 Counterfactual wealth: what if β entered official statistics?</w:t>
      </w:r>
    </w:p>
    <w:p>
      <w:pPr>
        <w:spacing w:before="360" w:after="120"/>
        <w:jc w:val="center"/>
      </w:pPr>
      <w:r>
        <w:drawing>
          <wp:inline xmlns:a="http://schemas.openxmlformats.org/drawingml/2006/main" xmlns:pic="http://schemas.openxmlformats.org/drawingml/2006/picture">
            <wp:extent cx="5669280" cy="2813466"/>
            <wp:docPr id="14" name="Picture 14"/>
            <wp:cNvGraphicFramePr>
              <a:graphicFrameLocks noChangeAspect="1"/>
            </wp:cNvGraphicFramePr>
            <a:graphic>
              <a:graphicData uri="http://schemas.openxmlformats.org/drawingml/2006/picture">
                <pic:pic>
                  <pic:nvPicPr>
                    <pic:cNvPr id="0" name="fig14_counterfactual_wealth_en.png"/>
                    <pic:cNvPicPr/>
                  </pic:nvPicPr>
                  <pic:blipFill>
                    <a:blip r:embed="rId22"/>
                    <a:stretch>
                      <a:fillRect/>
                    </a:stretch>
                  </pic:blipFill>
                  <pic:spPr>
                    <a:xfrm>
                      <a:off x="0" y="0"/>
                      <a:ext cx="5669280" cy="2813466"/>
                    </a:xfrm>
                    <a:prstGeom prst="rect"/>
                  </pic:spPr>
                </pic:pic>
              </a:graphicData>
            </a:graphic>
          </wp:inline>
        </w:drawing>
      </w:r>
    </w:p>
    <w:p>
      <w:pPr>
        <w:spacing w:after="240"/>
        <w:jc w:val="center"/>
      </w:pPr>
      <w:r>
        <w:rPr>
          <w:rFonts w:ascii="Times New Roman" w:hAnsi="Times New Roman" w:eastAsia="MS Mincho"/>
          <w:b/>
          <w:i w:val="0"/>
          <w:sz w:val="20"/>
        </w:rPr>
        <w:t xml:space="preserve">Fig. 14. </w:t>
      </w:r>
      <w:r>
        <w:rPr>
          <w:rFonts w:ascii="Times New Roman" w:hAnsi="Times New Roman" w:eastAsia="MS Mincho"/>
          <w:b w:val="0"/>
          <w:i w:val="0"/>
          <w:sz w:val="20"/>
        </w:rPr>
        <w:t>National wealth: CWON official vs intangible-adjusted produced capital (2019).</w:t>
      </w:r>
    </w:p>
    <w:p>
      <w:pPr>
        <w:spacing w:after="120" w:line="360" w:lineRule="auto"/>
        <w:ind w:firstLine="480"/>
      </w:pPr>
      <w:r>
        <w:rPr>
          <w:rFonts w:ascii="Times New Roman" w:hAnsi="Times New Roman" w:eastAsia="MS Mincho"/>
          <w:b w:val="0"/>
          <w:i w:val="0"/>
          <w:sz w:val="24"/>
        </w:rPr>
        <w:t xml:space="preserve">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has a direct policy implication: if </w:t>
      </w:r>
      <w:r>
        <w:rPr>
          <w:rFonts w:ascii="Times New Roman" w:hAnsi="Times New Roman" w:eastAsia="MS Mincho"/>
          <w:b w:val="0"/>
          <w:i/>
          <w:sz w:val="24"/>
        </w:rPr>
        <w:t>β</w:t>
      </w:r>
      <w:r>
        <w:rPr>
          <w:rFonts w:ascii="Times New Roman" w:hAnsi="Times New Roman" w:eastAsia="MS Mincho"/>
          <w:b w:val="0"/>
          <w:i w:val="0"/>
          <w:sz w:val="24"/>
        </w:rPr>
        <w:t xml:space="preserve"> were included in official wealth accounts, national produced capital would be revised upward. To quantify this, we compute the counterfactual produced capital for each country at 2019 as CWON</w:t>
      </w:r>
      <w:r>
        <w:rPr>
          <w:rFonts w:ascii="Times New Roman" w:hAnsi="Times New Roman" w:eastAsia="MS Mincho"/>
          <w:b w:val="0"/>
          <w:i/>
          <w:sz w:val="24"/>
          <w:vertAlign w:val="subscript"/>
        </w:rPr>
        <w:t>P</w:t>
      </w:r>
      <w:r>
        <w:rPr>
          <w:rFonts w:ascii="Times New Roman" w:hAnsi="Times New Roman" w:eastAsia="MS Mincho"/>
          <w:b w:val="0"/>
          <w:i w:val="0"/>
          <w:sz w:val="24"/>
        </w:rPr>
        <w:t xml:space="preserve">CA × (1 + </w:t>
      </w:r>
      <w:r>
        <w:rPr>
          <w:rFonts w:ascii="Times New Roman" w:hAnsi="Times New Roman" w:eastAsia="MS Mincho"/>
          <w:b w:val="0"/>
          <w:i/>
          <w:sz w:val="24"/>
        </w:rPr>
        <w:t>β</w:t>
      </w:r>
      <w:r>
        <w:rPr>
          <w:rFonts w:ascii="Times New Roman" w:hAnsi="Times New Roman" w:eastAsia="MS Mincho"/>
          <w:b w:val="0"/>
          <w:i w:val="0"/>
          <w:sz w:val="24"/>
        </w:rPr>
        <w:t>̂ ×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where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is the ratio of the intangible to tangible PIM stock evaluated at 2019.</w:t>
      </w:r>
    </w:p>
    <w:p>
      <w:pPr>
        <w:spacing w:after="120" w:line="360" w:lineRule="auto"/>
        <w:ind w:firstLine="480"/>
      </w:pPr>
      <w:r>
        <w:rPr>
          <w:rFonts w:ascii="Times New Roman" w:hAnsi="Times New Roman" w:eastAsia="MS Mincho"/>
          <w:b w:val="0"/>
          <w:i w:val="0"/>
          <w:sz w:val="24"/>
        </w:rPr>
        <w:t xml:space="preserve">Figure 14 displays the results for the 21 countries with </w:t>
      </w:r>
      <w:r>
        <w:rPr>
          <w:rFonts w:ascii="Times New Roman" w:hAnsi="Times New Roman" w:eastAsia="MS Mincho"/>
          <w:b w:val="0"/>
          <w:i/>
          <w:sz w:val="24"/>
        </w:rPr>
        <w:t>β</w:t>
      </w:r>
      <w:r>
        <w:rPr>
          <w:rFonts w:ascii="Times New Roman" w:hAnsi="Times New Roman" w:eastAsia="MS Mincho"/>
          <w:b w:val="0"/>
          <w:i w:val="0"/>
          <w:sz w:val="24"/>
        </w:rPr>
        <w:t xml:space="preserve">̂ &gt; 0. The Netherlands, France, and Norway show the largest adjustments (0.9–1.1 %), driven by the combination of high </w:t>
      </w:r>
      <w:r>
        <w:rPr>
          <w:rFonts w:ascii="Times New Roman" w:hAnsi="Times New Roman" w:eastAsia="MS Mincho"/>
          <w:b w:val="0"/>
          <w:i/>
          <w:sz w:val="24"/>
        </w:rPr>
        <w:t>β</w:t>
      </w:r>
      <w:r>
        <w:rPr>
          <w:rFonts w:ascii="Times New Roman" w:hAnsi="Times New Roman" w:eastAsia="MS Mincho"/>
          <w:b w:val="0"/>
          <w:i w:val="0"/>
          <w:sz w:val="24"/>
        </w:rPr>
        <w:t>̂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w:t>
      </w:r>
    </w:p>
    <w:p>
      <w:pPr>
        <w:spacing w:after="120" w:line="360" w:lineRule="auto"/>
        <w:ind w:firstLine="480"/>
      </w:pPr>
      <w:r>
        <w:rPr>
          <w:rFonts w:ascii="Times New Roman" w:hAnsi="Times New Roman" w:eastAsia="MS Mincho"/>
          <w:b w:val="0"/>
          <w:i w:val="0"/>
          <w:sz w:val="24"/>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360" w:lineRule="auto"/>
      </w:pPr>
      <w:r>
        <w:rPr>
          <w:rFonts w:ascii="Times New Roman" w:hAnsi="Times New Roman" w:eastAsia="MS Mincho"/>
          <w:b/>
          <w:i w:val="0"/>
          <w:sz w:val="28"/>
        </w:rPr>
        <w:t>6 Discussion and policy implications</w:t>
      </w:r>
    </w:p>
    <w:p>
      <w:pPr>
        <w:spacing w:after="120" w:line="360" w:lineRule="auto"/>
        <w:ind w:firstLine="480"/>
      </w:pPr>
      <w:r>
        <w:rPr>
          <w:rFonts w:ascii="Times New Roman" w:hAnsi="Times New Roman" w:eastAsia="MS Mincho"/>
          <w:b w:val="0"/>
          <w:i w:val="0"/>
          <w:sz w:val="24"/>
        </w:rPr>
        <w:t>The tempo drift and intangible corrections developed above have direct implications for macroeconomic policy, statistical practice, and the broader measurement agenda. We organise the discussion around five themes.</w:t>
      </w:r>
    </w:p>
    <w:p>
      <w:pPr>
        <w:spacing w:before="360" w:after="120" w:line="360" w:lineRule="auto"/>
      </w:pPr>
      <w:r>
        <w:rPr>
          <w:rFonts w:ascii="Times New Roman" w:hAnsi="Times New Roman" w:eastAsia="MS Mincho"/>
          <w:b/>
          <w:i w:val="0"/>
          <w:sz w:val="24"/>
        </w:rPr>
        <w:t>6.1 Re-interpreting the Solow residual</w:t>
      </w:r>
    </w:p>
    <w:p>
      <w:pPr>
        <w:spacing w:after="120" w:line="360" w:lineRule="auto"/>
        <w:ind w:firstLine="480"/>
      </w:pPr>
      <w:r>
        <w:rPr>
          <w:rFonts w:ascii="Times New Roman" w:hAnsi="Times New Roman" w:eastAsia="MS Mincho"/>
          <w:b w:val="0"/>
          <w:i w:val="0"/>
          <w:sz w:val="24"/>
        </w:rPr>
        <w:t xml:space="preserve">The K-level analysis of Sect. 5.10 and the historical decomposition of Sect. 5.11 put a number on the long-standing suspicion that the Solow residual conflates genuine innovation with capital-stock mismeasurement.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any mis-specification in the timing or composition of capital flows through directly into TFP and is then interpreted as innovation. We show that a measurable share of Solow-residual growth variation across our 35 countries can be re-assigned to two accounting corrections that have nothing to do with innovation: the time-to-build </w:t>
      </w:r>
      <w:r>
        <w:rPr>
          <w:rFonts w:ascii="Times New Roman" w:hAnsi="Times New Roman" w:eastAsia="MS Mincho"/>
          <w:b w:val="0"/>
          <w:i/>
          <w:sz w:val="24"/>
        </w:rPr>
        <w:t>μ</w:t>
      </w:r>
      <w:r>
        <w:rPr>
          <w:rFonts w:ascii="Times New Roman" w:hAnsi="Times New Roman" w:eastAsia="MS Mincho"/>
          <w:b w:val="0"/>
          <w:i w:val="0"/>
          <w:sz w:val="24"/>
        </w:rPr>
        <w:t xml:space="preserve">(t) and the intangible share </w:t>
      </w:r>
      <w:r>
        <w:rPr>
          <w:rFonts w:ascii="Times New Roman" w:hAnsi="Times New Roman" w:eastAsia="MS Mincho"/>
          <w:b w:val="0"/>
          <w:i/>
          <w:sz w:val="24"/>
        </w:rPr>
        <w:t>β</w:t>
      </w:r>
      <w:r>
        <w:rPr>
          <w:rFonts w:ascii="Times New Roman" w:hAnsi="Times New Roman" w:eastAsia="MS Mincho"/>
          <w:b w:val="0"/>
          <w:i w:val="0"/>
          <w:sz w:val="24"/>
        </w:rPr>
        <w:t>. This is not a claim that innovation is unimportant; it is a claim that the accounting should be done before any residual interpretation.</w:t>
      </w:r>
    </w:p>
    <w:p>
      <w:pPr>
        <w:spacing w:before="360" w:after="120" w:line="360" w:lineRule="auto"/>
      </w:pPr>
      <w:r>
        <w:rPr>
          <w:rFonts w:ascii="Times New Roman" w:hAnsi="Times New Roman" w:eastAsia="MS Mincho"/>
          <w:b/>
          <w:i w:val="0"/>
          <w:sz w:val="24"/>
        </w:rPr>
        <w:t>6.2 The Bongaarts-Feeney-Goldstein-Lutz-Scherbov analogy</w:t>
      </w:r>
    </w:p>
    <w:p>
      <w:pPr>
        <w:spacing w:after="120" w:line="360" w:lineRule="auto"/>
        <w:ind w:firstLine="480"/>
      </w:pPr>
      <w:r>
        <w:rPr>
          <w:rFonts w:ascii="Times New Roman" w:hAnsi="Times New Roman" w:eastAsia="MS Mincho"/>
          <w:b w:val="0"/>
          <w:i w:val="0"/>
          <w:sz w:val="24"/>
        </w:rPr>
        <w:t>Table 1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360" w:lineRule="auto"/>
        <w:ind w:firstLine="480"/>
      </w:pPr>
      <w:r>
        <w:rPr>
          <w:rFonts w:ascii="Times New Roman" w:hAnsi="Times New Roman" w:eastAsia="MS Mincho"/>
          <w:b w:val="0"/>
          <w:i w:val="0"/>
          <w:sz w:val="24"/>
        </w:rPr>
        <w:t xml:space="preserve">At the most conservative level, the results of Sect. 5 show that a </w:t>
      </w:r>
      <w:r>
        <w:rPr>
          <w:rFonts w:ascii="Times New Roman" w:hAnsi="Times New Roman" w:eastAsia="MS Mincho"/>
          <w:b w:val="0"/>
          <w:i/>
          <w:sz w:val="24"/>
        </w:rPr>
        <w:t>fraction</w:t>
      </w:r>
      <w:r>
        <w:rPr>
          <w:rFonts w:ascii="Times New Roman" w:hAnsi="Times New Roman" w:eastAsia="MS Mincho"/>
          <w:b w:val="0"/>
          <w:i w:val="0"/>
          <w:sz w:val="24"/>
        </w:rPr>
        <w:t xml:space="preserve"> of what we have been calling TFP growth is a book-keeping artefact that disappears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w:t>
      </w:r>
      <w:r>
        <w:rPr>
          <w:rFonts w:ascii="Times New Roman" w:hAnsi="Times New Roman" w:eastAsia="MS Mincho"/>
          <w:b w:val="0"/>
          <w:i/>
          <w:sz w:val="24"/>
        </w:rPr>
        <w:t>is</w:t>
      </w:r>
      <w:r>
        <w:rPr>
          <w:rFonts w:ascii="Times New Roman" w:hAnsi="Times New Roman" w:eastAsia="MS Mincho"/>
          <w:b w:val="0"/>
          <w:i w:val="0"/>
          <w:sz w:val="24"/>
        </w:rPr>
        <w:t xml:space="preserve">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w:t>
      </w:r>
      <w:r>
        <w:rPr>
          <w:rFonts w:ascii="Times New Roman" w:hAnsi="Times New Roman" w:eastAsia="MS Mincho"/>
          <w:b w:val="0"/>
          <w:i/>
          <w:sz w:val="24"/>
        </w:rPr>
        <w:t>μ</w:t>
      </w:r>
      <w:r>
        <w:rPr>
          <w:rFonts w:ascii="Times New Roman" w:hAnsi="Times New Roman" w:eastAsia="MS Mincho"/>
          <w:b w:val="0"/>
          <w:i w:val="0"/>
          <w:sz w:val="24"/>
        </w:rPr>
        <w:t xml:space="preserve">, zero </w:t>
      </w:r>
      <w:r>
        <w:rPr>
          <w:rFonts w:ascii="Times New Roman" w:hAnsi="Times New Roman" w:eastAsia="MS Mincho"/>
          <w:b w:val="0"/>
          <w:i/>
          <w:sz w:val="24"/>
        </w:rPr>
        <w:t>β</w:t>
      </w:r>
      <w:r>
        <w:rPr>
          <w:rFonts w:ascii="Times New Roman" w:hAnsi="Times New Roman" w:eastAsia="MS Mincho"/>
          <w:b w:val="0"/>
          <w:i w:val="0"/>
          <w:sz w:val="24"/>
        </w:rPr>
        <w:t>) that has dominated a half-century of growth accounting.</w:t>
      </w:r>
    </w:p>
    <w:p>
      <w:pPr>
        <w:spacing w:before="360" w:after="120" w:line="360" w:lineRule="auto"/>
      </w:pPr>
      <w:r>
        <w:rPr>
          <w:rFonts w:ascii="Times New Roman" w:hAnsi="Times New Roman" w:eastAsia="MS Mincho"/>
          <w:b/>
          <w:i w:val="0"/>
          <w:sz w:val="24"/>
        </w:rPr>
        <w:t>6.3 Identification strategy and credibility</w:t>
      </w:r>
    </w:p>
    <w:p>
      <w:pPr>
        <w:spacing w:after="120" w:line="360" w:lineRule="auto"/>
        <w:ind w:firstLine="480"/>
      </w:pPr>
      <w:r>
        <w:rPr>
          <w:rFonts w:ascii="Times New Roman" w:hAnsi="Times New Roman" w:eastAsia="MS Mincho"/>
          <w:b w:val="0"/>
          <w:i w:val="0"/>
          <w:sz w:val="24"/>
        </w:rPr>
        <w:t xml:space="preserve">A natural objection is that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may not be separately identified from the production-side data alone: a higher lag </w:t>
      </w:r>
      <w:r>
        <w:rPr>
          <w:rFonts w:ascii="Times New Roman" w:hAnsi="Times New Roman" w:eastAsia="MS Mincho"/>
          <w:b w:val="0"/>
          <w:i/>
          <w:sz w:val="24"/>
        </w:rPr>
        <w:t>μ</w:t>
      </w:r>
      <w:r>
        <w:rPr>
          <w:rFonts w:ascii="Times New Roman" w:hAnsi="Times New Roman" w:eastAsia="MS Mincho"/>
          <w:b w:val="0"/>
          <w:i w:val="0"/>
          <w:sz w:val="24"/>
        </w:rPr>
        <w:t xml:space="preserve"> slows measured capital accumulation in much the same way as a lower intangible share </w:t>
      </w:r>
      <w:r>
        <w:rPr>
          <w:rFonts w:ascii="Times New Roman" w:hAnsi="Times New Roman" w:eastAsia="MS Mincho"/>
          <w:b w:val="0"/>
          <w:i/>
          <w:sz w:val="24"/>
        </w:rPr>
        <w:t>β</w:t>
      </w:r>
      <w:r>
        <w:rPr>
          <w:rFonts w:ascii="Times New Roman" w:hAnsi="Times New Roman" w:eastAsia="MS Mincho"/>
          <w:b w:val="0"/>
          <w:i w:val="0"/>
          <w:sz w:val="24"/>
        </w:rPr>
        <w:t>. Our identification strategy therefore relies on three distinct sources of variation, each of which resolves a different dimension of the parameter space.</w:t>
      </w:r>
    </w:p>
    <w:p>
      <w:pPr>
        <w:spacing w:after="120" w:line="360" w:lineRule="auto"/>
        <w:ind w:firstLine="480"/>
      </w:pPr>
      <w:r>
        <w:rPr>
          <w:rFonts w:ascii="Times New Roman" w:hAnsi="Times New Roman" w:eastAsia="MS Mincho"/>
          <w:b w:val="0"/>
          <w:i/>
          <w:sz w:val="24"/>
        </w:rPr>
        <w:t>First, the wealth-side constraint.</w:t>
      </w:r>
      <w:r>
        <w:rPr>
          <w:rFonts w:ascii="Times New Roman" w:hAnsi="Times New Roman" w:eastAsia="MS Mincho"/>
          <w:b w:val="0"/>
          <w:i w:val="0"/>
          <w:sz w:val="24"/>
        </w:rPr>
        <w:t xml:space="preserve"> The joint loss (2) simultaneously penalises production-side growth-rate residuals and wealth-side trajectory deviations. Because CWON produced capital NW.PCA.TO is an independent measurement — compiled from national balance sheets with their own asset-life assumptions, revaluation conventions, and depreciation schedules — the wealth constraint provides an external discipline that the production residuals alone cannot. The bootstrap evidence in Sect. 5.4 quantifies this: production-side residuals alone leave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as a broad ridge for most countries; adding the wealth constraint collapses the ridge to a point for 28 of 39 countries at 5 %. The collapse is itself a testable implication: if the wealth data were uninformative, the joint and production-only posteriors would coincide.</w:t>
      </w:r>
    </w:p>
    <w:p>
      <w:pPr>
        <w:spacing w:after="120" w:line="360" w:lineRule="auto"/>
        <w:ind w:firstLine="480"/>
      </w:pPr>
      <w:r>
        <w:rPr>
          <w:rFonts w:ascii="Times New Roman" w:hAnsi="Times New Roman" w:eastAsia="MS Mincho"/>
          <w:b w:val="0"/>
          <w:i/>
          <w:sz w:val="24"/>
        </w:rPr>
        <w:t>Second, cross-country heterogeneity in asset composition.</w:t>
      </w:r>
      <w:r>
        <w:rPr>
          <w:rFonts w:ascii="Times New Roman" w:hAnsi="Times New Roman" w:eastAsia="MS Mincho"/>
          <w:b w:val="0"/>
          <w:i w:val="0"/>
          <w:sz w:val="24"/>
        </w:rPr>
        <w:t xml:space="preserve"> Countries with systematically different R&amp;D intensities trace out different regions of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space. The positive gradient of </w:t>
      </w:r>
      <w:r>
        <w:rPr>
          <w:rFonts w:ascii="Times New Roman" w:hAnsi="Times New Roman" w:eastAsia="MS Mincho"/>
          <w:b w:val="0"/>
          <w:i/>
          <w:sz w:val="24"/>
        </w:rPr>
        <w:t>ρ</w:t>
      </w:r>
      <w:r>
        <w:rPr>
          <w:rFonts w:ascii="Times New Roman" w:hAnsi="Times New Roman" w:eastAsia="MS Mincho"/>
          <w:b w:val="0"/>
          <w:i w:val="0"/>
          <w:sz w:val="24"/>
        </w:rPr>
        <w:t xml:space="preserve">̂₂ on R&amp;D intensity reported in Sect. 5.9 (slope = 0.068, t = 2.34 under M4) is consistent with the interpretation that </w:t>
      </w:r>
      <w:r>
        <w:rPr>
          <w:rFonts w:ascii="Times New Roman" w:hAnsi="Times New Roman" w:eastAsia="MS Mincho"/>
          <w:b w:val="0"/>
          <w:i/>
          <w:sz w:val="24"/>
        </w:rPr>
        <w:t>β</w:t>
      </w:r>
      <w:r>
        <w:rPr>
          <w:rFonts w:ascii="Times New Roman" w:hAnsi="Times New Roman" w:eastAsia="MS Mincho"/>
          <w:b w:val="0"/>
          <w:i w:val="0"/>
          <w:sz w:val="24"/>
        </w:rPr>
        <w:t xml:space="preserve"> captures a component correlated with — but not mechanically determined by — observable R&amp;D spending. If </w:t>
      </w:r>
      <w:r>
        <w:rPr>
          <w:rFonts w:ascii="Times New Roman" w:hAnsi="Times New Roman" w:eastAsia="MS Mincho"/>
          <w:b w:val="0"/>
          <w:i/>
          <w:sz w:val="24"/>
        </w:rPr>
        <w:t>β</w:t>
      </w:r>
      <w:r>
        <w:rPr>
          <w:rFonts w:ascii="Times New Roman" w:hAnsi="Times New Roman" w:eastAsia="MS Mincho"/>
          <w:b w:val="0"/>
          <w:i w:val="0"/>
          <w:sz w:val="24"/>
        </w:rPr>
        <w:t xml:space="preserve"> were merely absorbing production-side noise unrelated to intangibles, there would be no reason for the cross-sectional gradient to steepen under M4 relative to M0.</w:t>
      </w:r>
    </w:p>
    <w:p>
      <w:pPr>
        <w:spacing w:after="120" w:line="360" w:lineRule="auto"/>
        <w:ind w:firstLine="480"/>
      </w:pPr>
      <w:r>
        <w:rPr>
          <w:rFonts w:ascii="Times New Roman" w:hAnsi="Times New Roman" w:eastAsia="MS Mincho"/>
          <w:b w:val="0"/>
          <w:i/>
          <w:sz w:val="24"/>
        </w:rPr>
        <w:t>Third, the depreciation-sensitivity check.</w:t>
      </w:r>
      <w:r>
        <w:rPr>
          <w:rFonts w:ascii="Times New Roman" w:hAnsi="Times New Roman" w:eastAsia="MS Mincho"/>
          <w:b w:val="0"/>
          <w:i w:val="0"/>
          <w:sz w:val="24"/>
        </w:rPr>
        <w:t xml:space="preserve"> The </w:t>
      </w:r>
      <w:r>
        <w:rPr>
          <w:rFonts w:ascii="Times New Roman" w:hAnsi="Times New Roman" w:eastAsia="MS Mincho"/>
          <w:b w:val="0"/>
          <w:i/>
          <w:sz w:val="24"/>
        </w:rPr>
        <w:t>δ</w:t>
      </w:r>
      <w:r>
        <w:rPr>
          <w:rFonts w:ascii="Times New Roman" w:hAnsi="Times New Roman" w:eastAsia="MS Mincho"/>
          <w:b w:val="0"/>
          <w:i w:val="0"/>
          <w:sz w:val="24"/>
        </w:rPr>
        <w:t xml:space="preserve">-perturbation experiment in Sect. 5.6 addresses the concern that a drifting depreciation rate could mimic the tempo effect. The finding that </w:t>
      </w:r>
      <w:r>
        <w:rPr>
          <w:rFonts w:ascii="Times New Roman" w:hAnsi="Times New Roman" w:eastAsia="MS Mincho"/>
          <w:b w:val="0"/>
          <w:i/>
          <w:sz w:val="24"/>
        </w:rPr>
        <w:t>μ</w:t>
      </w:r>
      <w:r>
        <w:rPr>
          <w:rFonts w:ascii="Times New Roman" w:hAnsi="Times New Roman" w:eastAsia="MS Mincho"/>
          <w:b w:val="0"/>
          <w:i w:val="0"/>
          <w:sz w:val="24"/>
        </w:rPr>
        <w:t>̂ is stable to within 6 % of the baseline estimate across a ±20 % depreciation perturbation implies that the tempo parameter is not an artefact of depreciation mis-measurement; the two channels are empirically separable under the grid-search protocol, even though they are theoretically confounded in a single-equation setting.</w:t>
      </w:r>
    </w:p>
    <w:p>
      <w:pPr>
        <w:spacing w:after="120" w:line="360" w:lineRule="auto"/>
        <w:ind w:firstLine="480"/>
      </w:pPr>
      <w:r>
        <w:rPr>
          <w:rFonts w:ascii="Times New Roman" w:hAnsi="Times New Roman" w:eastAsia="MS Mincho"/>
          <w:b w:val="0"/>
          <w:i w:val="0"/>
          <w:sz w:val="24"/>
        </w:rPr>
        <w:t xml:space="preserve">We acknowledge that none of these arguments constitutes a structural identification proof of the kind available in natural-experiment or instrumental-variable designs. The framework here is a calibrated decomposition, not a causal model. What the three sources of variation collectively establish is that the decomposition is </w:t>
      </w:r>
      <w:r>
        <w:rPr>
          <w:rFonts w:ascii="Times New Roman" w:hAnsi="Times New Roman" w:eastAsia="MS Mincho"/>
          <w:b w:val="0"/>
          <w:i/>
          <w:sz w:val="24"/>
        </w:rPr>
        <w:t>disciplined</w:t>
      </w:r>
      <w:r>
        <w:rPr>
          <w:rFonts w:ascii="Times New Roman" w:hAnsi="Times New Roman" w:eastAsia="MS Mincho"/>
          <w:b w:val="0"/>
          <w:i w:val="0"/>
          <w:sz w:val="24"/>
        </w:rPr>
        <w:t xml:space="preserve"> — it is not an unconstrained statistical exercise but a system of accounting identities whose parameters are pinned down by the requirement that flow and stock accounts agree — and that the resulting parameter estimates move in the directions predicted by economic theory (higher </w:t>
      </w:r>
      <w:r>
        <w:rPr>
          <w:rFonts w:ascii="Times New Roman" w:hAnsi="Times New Roman" w:eastAsia="MS Mincho"/>
          <w:b w:val="0"/>
          <w:i/>
          <w:sz w:val="24"/>
        </w:rPr>
        <w:t>μ</w:t>
      </w:r>
      <w:r>
        <w:rPr>
          <w:rFonts w:ascii="Times New Roman" w:hAnsi="Times New Roman" w:eastAsia="MS Mincho"/>
          <w:b w:val="0"/>
          <w:i w:val="0"/>
          <w:sz w:val="24"/>
        </w:rPr>
        <w:t xml:space="preserve"> in economies with longer-gestation investment, higher </w:t>
      </w:r>
      <w:r>
        <w:rPr>
          <w:rFonts w:ascii="Times New Roman" w:hAnsi="Times New Roman" w:eastAsia="MS Mincho"/>
          <w:b w:val="0"/>
          <w:i/>
          <w:sz w:val="24"/>
        </w:rPr>
        <w:t>β</w:t>
      </w:r>
      <w:r>
        <w:rPr>
          <w:rFonts w:ascii="Times New Roman" w:hAnsi="Times New Roman" w:eastAsia="MS Mincho"/>
          <w:b w:val="0"/>
          <w:i w:val="0"/>
          <w:sz w:val="24"/>
        </w:rPr>
        <w:t xml:space="preserve"> in economies with more R&amp;D). Whether the decomposition is unique in a deeper structural sense — whether alternative parameter configurations could generate the same observables — is a question we leave to future work with richer asset-class data.</w:t>
      </w:r>
    </w:p>
    <w:p>
      <w:pPr>
        <w:spacing w:before="360" w:after="120" w:line="360" w:lineRule="auto"/>
      </w:pPr>
      <w:r>
        <w:rPr>
          <w:rFonts w:ascii="Times New Roman" w:hAnsi="Times New Roman" w:eastAsia="MS Mincho"/>
          <w:b/>
          <w:i w:val="0"/>
          <w:sz w:val="24"/>
        </w:rPr>
        <w:t>6.4 Concrete policy implications</w:t>
      </w:r>
    </w:p>
    <w:p>
      <w:pPr>
        <w:spacing w:after="120" w:line="360" w:lineRule="auto"/>
        <w:ind w:firstLine="480"/>
      </w:pPr>
      <w:r>
        <w:rPr>
          <w:rFonts w:ascii="Times New Roman" w:hAnsi="Times New Roman" w:eastAsia="MS Mincho"/>
          <w:b w:val="0"/>
          <w:i w:val="0"/>
          <w:sz w:val="24"/>
        </w:rPr>
        <w:t>The corrections developed here translate into four actionable recommendations for macroeconomic policy and statistical practice.</w:t>
      </w:r>
    </w:p>
    <w:p>
      <w:pPr>
        <w:spacing w:after="120" w:line="360" w:lineRule="auto"/>
        <w:ind w:firstLine="480"/>
      </w:pPr>
      <w:r>
        <w:rPr>
          <w:rFonts w:ascii="Times New Roman" w:hAnsi="Times New Roman" w:eastAsia="MS Mincho"/>
          <w:b w:val="0"/>
          <w:i/>
          <w:sz w:val="24"/>
        </w:rPr>
        <w:t>Potential output and fiscal rules.</w:t>
      </w:r>
      <w:r>
        <w:rPr>
          <w:rFonts w:ascii="Times New Roman" w:hAnsi="Times New Roman" w:eastAsia="MS Mincho"/>
          <w:b w:val="0"/>
          <w:i w:val="0"/>
          <w:sz w:val="24"/>
        </w:rPr>
        <w:t xml:space="preserve"> Output-gap estimates that feed directly into fiscal-policy rules — the EU's Stability and Growth Pact, the US Congressional Budget Office's potential-GDP series, Japan's Cabinet Office estimates — are computed from production functions that assume </w:t>
      </w:r>
      <w:r>
        <w:rPr>
          <w:rFonts w:ascii="Times New Roman" w:hAnsi="Times New Roman" w:eastAsia="MS Mincho"/>
          <w:b w:val="0"/>
          <w:i/>
          <w:sz w:val="24"/>
        </w:rPr>
        <w:t>μ</w:t>
      </w:r>
      <w:r>
        <w:rPr>
          <w:rFonts w:ascii="Times New Roman" w:hAnsi="Times New Roman" w:eastAsia="MS Mincho"/>
          <w:b w:val="0"/>
          <w:i w:val="0"/>
          <w:sz w:val="24"/>
        </w:rPr>
        <w:t xml:space="preserve"> = 0 and </w:t>
      </w:r>
      <w:r>
        <w:rPr>
          <w:rFonts w:ascii="Times New Roman" w:hAnsi="Times New Roman" w:eastAsia="MS Mincho"/>
          <w:b w:val="0"/>
          <w:i/>
          <w:sz w:val="24"/>
        </w:rPr>
        <w:t>β</w:t>
      </w:r>
      <w:r>
        <w:rPr>
          <w:rFonts w:ascii="Times New Roman" w:hAnsi="Times New Roman" w:eastAsia="MS Mincho"/>
          <w:b w:val="0"/>
          <w:i w:val="0"/>
          <w:sz w:val="24"/>
        </w:rPr>
        <w:t xml:space="preserve"> = 0. If the capital stock is systematically mis-timed, the potential-output estimate inherits the bias, and the fiscal stance calibrated to the resulting output gap is correspondingly distorted. For a country like Sweden (</w:t>
      </w:r>
      <w:r>
        <w:rPr>
          <w:rFonts w:ascii="Times New Roman" w:hAnsi="Times New Roman" w:eastAsia="MS Mincho"/>
          <w:b w:val="0"/>
          <w:i/>
          <w:sz w:val="24"/>
        </w:rPr>
        <w:t>μ</w:t>
      </w:r>
      <w:r>
        <w:rPr>
          <w:rFonts w:ascii="Times New Roman" w:hAnsi="Times New Roman" w:eastAsia="MS Mincho"/>
          <w:b w:val="0"/>
          <w:i w:val="0"/>
          <w:sz w:val="24"/>
        </w:rPr>
        <w:t>̂ ≈ 3.0 years), the PIM capital stock under M0 runs 2–4 years ahead of the tempo-corrected stock, which implies that the conventional output gap overstates the degree of slack during investment booms and understates it during downturns. Governments that tighten fiscal policy in response to an overestimated output gap risk procyclical contraction.</w:t>
      </w:r>
    </w:p>
    <w:p>
      <w:pPr>
        <w:spacing w:after="120" w:line="360" w:lineRule="auto"/>
        <w:ind w:firstLine="480"/>
      </w:pPr>
      <w:r>
        <w:rPr>
          <w:rFonts w:ascii="Times New Roman" w:hAnsi="Times New Roman" w:eastAsia="MS Mincho"/>
          <w:b w:val="0"/>
          <w:i/>
          <w:sz w:val="24"/>
        </w:rPr>
        <w:t>Monetary-policy transmission.</w:t>
      </w:r>
      <w:r>
        <w:rPr>
          <w:rFonts w:ascii="Times New Roman" w:hAnsi="Times New Roman" w:eastAsia="MS Mincho"/>
          <w:b w:val="0"/>
          <w:i w:val="0"/>
          <w:sz w:val="24"/>
        </w:rPr>
        <w:t xml:space="preserve"> The lengthening of monetary-policy transmission lags documented by Havranek and Rusnak (2013) has been attributed to financial deepening and expectation formation. The time-varying </w:t>
      </w:r>
      <w:r>
        <w:rPr>
          <w:rFonts w:ascii="Times New Roman" w:hAnsi="Times New Roman" w:eastAsia="MS Mincho"/>
          <w:b w:val="0"/>
          <w:i/>
          <w:sz w:val="24"/>
        </w:rPr>
        <w:t>μ</w:t>
      </w:r>
      <w:r>
        <w:rPr>
          <w:rFonts w:ascii="Times New Roman" w:hAnsi="Times New Roman" w:eastAsia="MS Mincho"/>
          <w:b w:val="0"/>
          <w:i w:val="0"/>
          <w:sz w:val="24"/>
        </w:rPr>
        <w:t>(t) offers a complementary structural explanation: as the typical investment project takes longer to mature — from factories built in 18 months in the 1970s to software platforms deployed over 3–5 years today — the real-economy response to interest-rate changes is mechanically delayed by the same gestation lag that this paper formalises. Central banks calibrating their forward guidance to historical transmission lags may therefore underestimate the delay with which current rate changes affect output.</w:t>
      </w:r>
    </w:p>
    <w:p>
      <w:pPr>
        <w:spacing w:after="120" w:line="360" w:lineRule="auto"/>
        <w:ind w:firstLine="480"/>
      </w:pPr>
      <w:r>
        <w:rPr>
          <w:rFonts w:ascii="Times New Roman" w:hAnsi="Times New Roman" w:eastAsia="MS Mincho"/>
          <w:b w:val="0"/>
          <w:i/>
          <w:sz w:val="24"/>
        </w:rPr>
        <w:t>Statistical-agency practice.</w:t>
      </w:r>
      <w:r>
        <w:rPr>
          <w:rFonts w:ascii="Times New Roman" w:hAnsi="Times New Roman" w:eastAsia="MS Mincho"/>
          <w:b w:val="0"/>
          <w:i w:val="0"/>
          <w:sz w:val="24"/>
        </w:rPr>
        <w:t xml:space="preserve"> The System of National Accounts (SNA 2008) and its 2025 revision process would benefit from three specific modifications. First, the PIM should report </w:t>
      </w:r>
      <w:r>
        <w:rPr>
          <w:rFonts w:ascii="Times New Roman" w:hAnsi="Times New Roman" w:eastAsia="MS Mincho"/>
          <w:b w:val="0"/>
          <w:i/>
          <w:sz w:val="24"/>
        </w:rPr>
        <w:t>μ</w:t>
      </w:r>
      <w:r>
        <w:rPr>
          <w:rFonts w:ascii="Times New Roman" w:hAnsi="Times New Roman" w:eastAsia="MS Mincho"/>
          <w:b w:val="0"/>
          <w:i w:val="0"/>
          <w:sz w:val="24"/>
        </w:rPr>
        <w:t xml:space="preserve">(t) as a time-varying parameter alongside the depreciation rate </w:t>
      </w:r>
      <w:r>
        <w:rPr>
          <w:rFonts w:ascii="Times New Roman" w:hAnsi="Times New Roman" w:eastAsia="MS Mincho"/>
          <w:b w:val="0"/>
          <w:i/>
          <w:sz w:val="24"/>
        </w:rPr>
        <w:t>δ</w:t>
      </w:r>
      <w:r>
        <w:rPr>
          <w:rFonts w:ascii="Times New Roman" w:hAnsi="Times New Roman" w:eastAsia="MS Mincho"/>
          <w:b w:val="0"/>
          <w:i w:val="0"/>
          <w:sz w:val="24"/>
        </w:rPr>
        <w:t xml:space="preserve">, rather than treating it as a fixed structural constant; the computational cost is negligible (our grid search runs in under one second per country) and the informational gain — knowing whether the capital stock is speeding up or slowing down relative to investment — is substantial. Second, produced-capital aggregates should carry a supplementary </w:t>
      </w:r>
      <w:r>
        <w:rPr>
          <w:rFonts w:ascii="Times New Roman" w:hAnsi="Times New Roman" w:eastAsia="MS Mincho"/>
          <w:b w:val="0"/>
          <w:i/>
          <w:sz w:val="24"/>
        </w:rPr>
        <w:t>β</w:t>
      </w:r>
      <w:r>
        <w:rPr>
          <w:rFonts w:ascii="Times New Roman" w:hAnsi="Times New Roman" w:eastAsia="MS Mincho"/>
          <w:b w:val="0"/>
          <w:i w:val="0"/>
          <w:sz w:val="24"/>
        </w:rPr>
        <w:t xml:space="preserve"> estimate so that users can see the intangible adjustment at a glance. Third, the Relational PIM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developed in Sect. 3.5 can serve as a routine quality-control metric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investigation before its wealth statistics are published.</w:t>
      </w:r>
    </w:p>
    <w:p>
      <w:pPr>
        <w:spacing w:after="120" w:line="360" w:lineRule="auto"/>
        <w:ind w:firstLine="480"/>
      </w:pPr>
      <w:r>
        <w:rPr>
          <w:rFonts w:ascii="Times New Roman" w:hAnsi="Times New Roman" w:eastAsia="MS Mincho"/>
          <w:b w:val="0"/>
          <w:i/>
          <w:sz w:val="24"/>
        </w:rPr>
        <w:t>International GDP comparability.</w:t>
      </w:r>
      <w:r>
        <w:rPr>
          <w:rFonts w:ascii="Times New Roman" w:hAnsi="Times New Roman" w:eastAsia="MS Mincho"/>
          <w:b w:val="0"/>
          <w:i w:val="0"/>
          <w:sz w:val="24"/>
        </w:rPr>
        <w:t xml:space="preserve"> Cross-country heterogeneity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maps onto observable differences in investment composition. The one-size-fits-all depreciation schedules and zero-lag assumption used to construct PWT capital stocks therefore introduce a systematic comparability problem: countries with longer-gestation investment portfolios (Nordic economies, Republic of Korea) appear to have lower capital and higher TFP relative to countries with shorter-gestation portfolios (United States, United Kingdom). Tempo-correcting the capital stock before computing TFP would improve the comparability of cross-country productivity studies such as Inklaar and Timmer (2013).</w:t>
      </w:r>
    </w:p>
    <w:p>
      <w:pPr>
        <w:spacing w:before="360" w:after="120" w:line="360" w:lineRule="auto"/>
      </w:pPr>
      <w:r>
        <w:rPr>
          <w:rFonts w:ascii="Times New Roman" w:hAnsi="Times New Roman" w:eastAsia="MS Mincho"/>
          <w:b/>
          <w:i w:val="0"/>
          <w:sz w:val="24"/>
        </w:rPr>
        <w:t>6.5 Flow–stock reconciliation and Beyond-GDP</w:t>
      </w:r>
    </w:p>
    <w:p>
      <w:pPr>
        <w:spacing w:after="120" w:line="360" w:lineRule="auto"/>
        <w:ind w:firstLine="480"/>
      </w:pPr>
      <w:r>
        <w:rPr>
          <w:rFonts w:ascii="Times New Roman" w:hAnsi="Times New Roman" w:eastAsia="MS Mincho"/>
          <w:b w:val="0"/>
          <w:i w:val="0"/>
          <w:sz w:val="24"/>
        </w:rPr>
        <w:t xml:space="preserve">The Beyond-GDP programme has spent twenty years arguing that flow measures (GDP) should be replaced or augmented by stock measures (IWI, CWON, SEEA). The results here suggest a more constructive synthesis: flow and stock measures are </w:t>
      </w:r>
      <w:r>
        <w:rPr>
          <w:rFonts w:ascii="Times New Roman" w:hAnsi="Times New Roman" w:eastAsia="MS Mincho"/>
          <w:b w:val="0"/>
          <w:i/>
          <w:sz w:val="24"/>
        </w:rPr>
        <w:t>both</w:t>
      </w:r>
      <w:r>
        <w:rPr>
          <w:rFonts w:ascii="Times New Roman" w:hAnsi="Times New Roman" w:eastAsia="MS Mincho"/>
          <w:b w:val="0"/>
          <w:i w:val="0"/>
          <w:sz w:val="24"/>
        </w:rPr>
        <w:t xml:space="preserve"> biased by ignored hidden parameters, and they bias </w:t>
      </w:r>
      <w:r>
        <w:rPr>
          <w:rFonts w:ascii="Times New Roman" w:hAnsi="Times New Roman" w:eastAsia="MS Mincho"/>
          <w:b w:val="0"/>
          <w:i/>
          <w:sz w:val="24"/>
        </w:rPr>
        <w:t>in the same direction</w:t>
      </w:r>
      <w:r>
        <w:rPr>
          <w:rFonts w:ascii="Times New Roman" w:hAnsi="Times New Roman" w:eastAsia="MS Mincho"/>
          <w:b w:val="0"/>
          <w:i w:val="0"/>
          <w:sz w:val="24"/>
        </w:rPr>
        <w:t xml:space="preserve"> once the parameters are made explicit. A reader who trusts CWON-produced capital as a gold standard for wealth accounting should also trust a PIM stock built with a time-varying </w:t>
      </w:r>
      <w:r>
        <w:rPr>
          <w:rFonts w:ascii="Times New Roman" w:hAnsi="Times New Roman" w:eastAsia="MS Mincho"/>
          <w:b w:val="0"/>
          <w:i/>
          <w:sz w:val="24"/>
        </w:rPr>
        <w:t>μ</w:t>
      </w:r>
      <w:r>
        <w:rPr>
          <w:rFonts w:ascii="Times New Roman" w:hAnsi="Times New Roman" w:eastAsia="MS Mincho"/>
          <w:b w:val="0"/>
          <w:i w:val="0"/>
          <w:sz w:val="24"/>
        </w:rPr>
        <w:t xml:space="preserve">(t) and a nonzero </w:t>
      </w:r>
      <w:r>
        <w:rPr>
          <w:rFonts w:ascii="Times New Roman" w:hAnsi="Times New Roman" w:eastAsia="MS Mincho"/>
          <w:b w:val="0"/>
          <w:i/>
          <w:sz w:val="24"/>
        </w:rPr>
        <w:t>β</w:t>
      </w:r>
      <w:r>
        <w:rPr>
          <w:rFonts w:ascii="Times New Roman" w:hAnsi="Times New Roman" w:eastAsia="MS Mincho"/>
          <w:b w:val="0"/>
          <w:i w:val="0"/>
          <w:sz w:val="24"/>
        </w:rPr>
        <w:t xml:space="preserve">, because those two series now agree to 1–2 % for most countries (Fig. 3). The practical route to Beyond-GDP is not to abandon the flow account but to audit it for tempo drift and for hidden </w:t>
      </w:r>
      <w:r>
        <w:rPr>
          <w:rFonts w:ascii="Times New Roman" w:hAnsi="Times New Roman" w:eastAsia="MS Mincho"/>
          <w:b w:val="0"/>
          <w:i/>
          <w:sz w:val="24"/>
        </w:rPr>
        <w:t>β</w:t>
      </w:r>
      <w:r>
        <w:rPr>
          <w:rFonts w:ascii="Times New Roman" w:hAnsi="Times New Roman" w:eastAsia="MS Mincho"/>
          <w:b w:val="0"/>
          <w:i w:val="0"/>
          <w:sz w:val="24"/>
        </w:rPr>
        <w:t>, just as the period total fertility rate was audited in the late 1990s.</w:t>
      </w:r>
    </w:p>
    <w:p>
      <w:pPr>
        <w:spacing w:after="120" w:line="360" w:lineRule="auto"/>
        <w:ind w:firstLine="480"/>
      </w:pPr>
      <w:r>
        <w:rPr>
          <w:rFonts w:ascii="Times New Roman" w:hAnsi="Times New Roman" w:eastAsia="MS Mincho"/>
          <w:b w:val="0"/>
          <w:i w:val="0"/>
          <w:sz w:val="24"/>
        </w:rPr>
        <w:t xml:space="preserve">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w:t>
      </w:r>
      <w:r>
        <w:rPr>
          <w:rFonts w:ascii="Times New Roman" w:hAnsi="Times New Roman" w:eastAsia="MS Mincho"/>
          <w:b w:val="0"/>
          <w:i/>
          <w:sz w:val="24"/>
        </w:rPr>
        <w:t>μ</w:t>
      </w:r>
      <w:r>
        <w:rPr>
          <w:rFonts w:ascii="Times New Roman" w:hAnsi="Times New Roman" w:eastAsia="MS Mincho"/>
          <w:b w:val="0"/>
          <w:i w:val="0"/>
          <w:sz w:val="24"/>
        </w:rPr>
        <w:t xml:space="preserve">, country-specific </w:t>
      </w:r>
      <w:r>
        <w:rPr>
          <w:rFonts w:ascii="Times New Roman" w:hAnsi="Times New Roman" w:eastAsia="MS Mincho"/>
          <w:b w:val="0"/>
          <w:i/>
          <w:sz w:val="24"/>
        </w:rPr>
        <w:t>β</w:t>
      </w:r>
      <w:r>
        <w:rPr>
          <w:rFonts w:ascii="Times New Roman" w:hAnsi="Times New Roman" w:eastAsia="MS Mincho"/>
          <w:b w:val="0"/>
          <w:i w:val="0"/>
          <w:sz w:val="24"/>
        </w:rPr>
        <w:t xml:space="preserve"> drift, interaction terms between </w:t>
      </w:r>
      <w:r>
        <w:rPr>
          <w:rFonts w:ascii="Times New Roman" w:hAnsi="Times New Roman" w:eastAsia="MS Mincho"/>
          <w:b w:val="0"/>
          <w:i/>
          <w:sz w:val="24"/>
        </w:rPr>
        <w:t>μ</w:t>
      </w:r>
      <w:r>
        <w:rPr>
          <w:rFonts w:ascii="Times New Roman" w:hAnsi="Times New Roman" w:eastAsia="MS Mincho"/>
          <w:b w:val="0"/>
          <w:i w:val="0"/>
          <w:sz w:val="24"/>
        </w:rPr>
        <w:t xml:space="preserve"> and depreciation </w:t>
      </w:r>
      <w:r>
        <w:rPr>
          <w:rFonts w:ascii="Times New Roman" w:hAnsi="Times New Roman" w:eastAsia="MS Mincho"/>
          <w:b w:val="0"/>
          <w:i/>
          <w:sz w:val="24"/>
        </w:rPr>
        <w:t>δ</w:t>
      </w:r>
      <w:r>
        <w:rPr>
          <w:rFonts w:ascii="Times New Roman" w:hAnsi="Times New Roman" w:eastAsia="MS Mincho"/>
          <w:b w:val="0"/>
          <w:i w:val="0"/>
          <w:sz w:val="24"/>
        </w:rPr>
        <w:t xml:space="preserve"> — are the natural next layer of refinement.</w:t>
      </w:r>
    </w:p>
    <w:p>
      <w:pPr>
        <w:spacing w:before="360" w:after="120" w:line="360" w:lineRule="auto"/>
      </w:pPr>
      <w:r>
        <w:rPr>
          <w:rFonts w:ascii="Times New Roman" w:hAnsi="Times New Roman" w:eastAsia="MS Mincho"/>
          <w:b/>
          <w:i w:val="0"/>
          <w:sz w:val="24"/>
        </w:rPr>
        <w:t>6.6 Extensions</w:t>
      </w:r>
    </w:p>
    <w:p>
      <w:pPr>
        <w:spacing w:after="120" w:line="360" w:lineRule="auto"/>
        <w:ind w:firstLine="480"/>
      </w:pPr>
      <w:r>
        <w:rPr>
          <w:rFonts w:ascii="Times New Roman" w:hAnsi="Times New Roman" w:eastAsia="MS Mincho"/>
          <w:b w:val="0"/>
          <w:i w:val="0"/>
          <w:sz w:val="24"/>
        </w:rPr>
        <w:t>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explains an additional share of life-expectancy gaps. More broadly, any stock process whose timing structure drifts — the human-capital stock, the stock of accumulated medical R&amp;D, the stock of climate adaptation capital — admits the same tempo-plus-forgotten-parameter correction. Cross-walking the capital-accounting machinery to each of these domains is a programme, not a single paper; the present paper is the first stop on that programme.</w:t>
      </w:r>
    </w:p>
    <w:p>
      <w:pPr>
        <w:spacing w:before="360" w:after="120" w:line="360" w:lineRule="auto"/>
      </w:pPr>
      <w:r>
        <w:rPr>
          <w:rFonts w:ascii="Times New Roman" w:hAnsi="Times New Roman" w:eastAsia="MS Mincho"/>
          <w:b/>
          <w:i w:val="0"/>
          <w:sz w:val="24"/>
        </w:rPr>
        <w:t>6.7 Limitations</w:t>
      </w:r>
    </w:p>
    <w:p>
      <w:pPr>
        <w:spacing w:after="120" w:line="360" w:lineRule="auto"/>
        <w:ind w:firstLine="480"/>
      </w:pPr>
      <w:r>
        <w:rPr>
          <w:rFonts w:ascii="Times New Roman" w:hAnsi="Times New Roman" w:eastAsia="MS Mincho"/>
          <w:b w:val="0"/>
          <w:i w:val="0"/>
          <w:sz w:val="24"/>
        </w:rPr>
        <w:t xml:space="preserve">Three caveats apply. First, our identification of </w:t>
      </w:r>
      <w:r>
        <w:rPr>
          <w:rFonts w:ascii="Times New Roman" w:hAnsi="Times New Roman" w:eastAsia="MS Mincho"/>
          <w:b w:val="0"/>
          <w:i/>
          <w:sz w:val="24"/>
        </w:rPr>
        <w:t>β</w:t>
      </w:r>
      <w:r>
        <w:rPr>
          <w:rFonts w:ascii="Times New Roman" w:hAnsi="Times New Roman" w:eastAsia="MS Mincho"/>
          <w:b w:val="0"/>
          <w:i w:val="0"/>
          <w:sz w:val="24"/>
        </w:rPr>
        <w:t xml:space="preserve">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(Sect.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experiment (Sect.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that is itself a derived estimate in PWT and is known to be imprecisely measured in transition economies (Inklaar and Timmer, 2013). If the true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(t). Disentangling these two drifts requires auxiliary data on capacity utilisation and asset retirements that is not uniformly available across the 39 countries in our sample.</w:t>
      </w:r>
    </w:p>
    <w:p>
      <w:pPr>
        <w:spacing w:before="360" w:after="120" w:line="360" w:lineRule="auto"/>
      </w:pPr>
      <w:r>
        <w:rPr>
          <w:rFonts w:ascii="Times New Roman" w:hAnsi="Times New Roman" w:eastAsia="MS Mincho"/>
          <w:b/>
          <w:i w:val="0"/>
          <w:sz w:val="28"/>
        </w:rPr>
        <w:t>7 Conclusion</w:t>
      </w:r>
    </w:p>
    <w:p>
      <w:pPr>
        <w:spacing w:after="120" w:line="36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w:t>
      </w:r>
      <w:r>
        <w:rPr>
          <w:rFonts w:ascii="Times New Roman" w:hAnsi="Times New Roman" w:eastAsia="MS Mincho"/>
          <w:b w:val="0"/>
          <w:i/>
          <w:sz w:val="24"/>
        </w:rPr>
        <w:t>μ</w:t>
      </w:r>
      <w:r>
        <w:rPr>
          <w:rFonts w:ascii="Times New Roman" w:hAnsi="Times New Roman" w:eastAsia="MS Mincho"/>
          <w:b w:val="0"/>
          <w:i w:val="0"/>
          <w:sz w:val="24"/>
        </w:rPr>
        <w:t xml:space="preserve"> = 0, </w:t>
      </w:r>
      <w:r>
        <w:rPr>
          <w:rFonts w:ascii="Times New Roman" w:hAnsi="Times New Roman" w:eastAsia="MS Mincho"/>
          <w:b w:val="0"/>
          <w:i/>
          <w:sz w:val="24"/>
        </w:rPr>
        <w:t>β</w:t>
      </w:r>
      <w:r>
        <w:rPr>
          <w:rFonts w:ascii="Times New Roman" w:hAnsi="Times New Roman" w:eastAsia="MS Mincho"/>
          <w:b w:val="0"/>
          <w:i w:val="0"/>
          <w:sz w:val="24"/>
        </w:rPr>
        <w:t xml:space="preserve"> = 0) the accounting is silently biased, the Solow residual absorbs the error, and the flow and stock accounts drift apart. When </w:t>
      </w:r>
      <w:r>
        <w:rPr>
          <w:rFonts w:ascii="Times New Roman" w:hAnsi="Times New Roman" w:eastAsia="MS Mincho"/>
          <w:b w:val="0"/>
          <w:i/>
          <w:sz w:val="24"/>
        </w:rPr>
        <w:t>μ</w:t>
      </w:r>
      <w:r>
        <w:rPr>
          <w:rFonts w:ascii="Times New Roman" w:hAnsi="Times New Roman" w:eastAsia="MS Mincho"/>
          <w:b w:val="0"/>
          <w:i w:val="0"/>
          <w:sz w:val="24"/>
        </w:rPr>
        <w:t xml:space="preserve"> is constructed from observable investment composition (M</w:t>
      </w:r>
      <w:r>
        <w:rPr>
          <w:rFonts w:ascii="Times New Roman" w:hAnsi="Times New Roman" w:eastAsia="MS Mincho"/>
          <w:b w:val="0"/>
          <w:i/>
          <w:sz w:val="24"/>
          <w:vertAlign w:val="subscript"/>
        </w:rPr>
        <w:t>o</w:t>
      </w:r>
      <w:r>
        <w:rPr>
          <w:rFonts w:ascii="Times New Roman" w:hAnsi="Times New Roman" w:eastAsia="MS Mincho"/>
          <w:b w:val="0"/>
          <w:i w:val="0"/>
          <w:sz w:val="24"/>
        </w:rPr>
        <w:t>bs), the measured capital stock changes by a median 4.3 %, TFP shifts by 1.7 percentage points, and the implied labour share shifts by 1.7 percentage points — all without any free parameters. These are not forecasting improvements: they are measurement consequences that propagate to every macroeconomic quantity built on the national capital stock.</w:t>
      </w:r>
    </w:p>
    <w:p>
      <w:pPr>
        <w:spacing w:after="120" w:line="360" w:lineRule="auto"/>
        <w:ind w:firstLine="480"/>
      </w:pPr>
      <w:r>
        <w:rPr>
          <w:rFonts w:ascii="Times New Roman" w:hAnsi="Times New Roman" w:eastAsia="MS Mincho"/>
          <w:b w:val="0"/>
          <w:i w:val="0"/>
          <w:sz w:val="24"/>
        </w:rPr>
        <w:t xml:space="preserve">The scale of the measurement consequences deserves a final word of calibration. A 4.3 % change in the capital stock may sound modest, but it implies that the capital contribution to output — </w:t>
      </w:r>
      <w:r>
        <w:rPr>
          <w:rFonts w:ascii="Times New Roman" w:hAnsi="Times New Roman" w:eastAsia="MS Mincho"/>
          <w:b w:val="0"/>
          <w:i/>
          <w:sz w:val="24"/>
        </w:rPr>
        <w:t>α</w:t>
      </w:r>
      <w:r>
        <w:rPr>
          <w:rFonts w:ascii="Times New Roman" w:hAnsi="Times New Roman" w:eastAsia="MS Mincho"/>
          <w:b w:val="0"/>
          <w:i w:val="0"/>
          <w:sz w:val="24"/>
        </w:rPr>
        <w:t xml:space="preserve"> log K in every growth-accounting exercise since Solow (1957) — has been systematically biased for every country that has experienced a shift in investment composition toward long-gestation assets. For the Republic of Korea, the capital stock is overstated by 7.1 %, shifting TFP by 3.1 pp and the implied labour share by 3.1 pp; for Ireland the figures are 9.2 % and 4.6 pp. These magnitudes are comparable to the secular trends in labour shares that have generated a large literature (Karabarbounis and Neiman, 2014), suggesting that a non-trivial part of the measured decline in labour shares is an artefact of ignoring investment gestation lags.</w:t>
      </w:r>
    </w:p>
    <w:p>
      <w:pPr>
        <w:spacing w:after="120" w:line="360" w:lineRule="auto"/>
        <w:ind w:firstLine="480"/>
      </w:pPr>
      <w:r>
        <w:rPr>
          <w:rFonts w:ascii="Times New Roman" w:hAnsi="Times New Roman" w:eastAsia="MS Mincho"/>
          <w:b w:val="0"/>
          <w:i w:val="0"/>
          <w:sz w:val="24"/>
        </w:rPr>
        <w:t xml:space="preserve">Three practical recommendations follow from the results. First, any revision of national capital-stock estimates that treats </w:t>
      </w:r>
      <w:r>
        <w:rPr>
          <w:rFonts w:ascii="Times New Roman" w:hAnsi="Times New Roman" w:eastAsia="MS Mincho"/>
          <w:b w:val="0"/>
          <w:i/>
          <w:sz w:val="24"/>
        </w:rPr>
        <w:t>μ</w:t>
      </w:r>
      <w:r>
        <w:rPr>
          <w:rFonts w:ascii="Times New Roman" w:hAnsi="Times New Roman" w:eastAsia="MS Mincho"/>
          <w:b w:val="0"/>
          <w:i w:val="0"/>
          <w:sz w:val="24"/>
        </w:rPr>
        <w:t xml:space="preserve"> as time-invariant should be treated as provisional; the observable M</w:t>
      </w:r>
      <w:r>
        <w:rPr>
          <w:rFonts w:ascii="Times New Roman" w:hAnsi="Times New Roman" w:eastAsia="MS Mincho"/>
          <w:b w:val="0"/>
          <w:i/>
          <w:sz w:val="24"/>
          <w:vertAlign w:val="subscript"/>
        </w:rPr>
        <w:t>o</w:t>
      </w:r>
      <w:r>
        <w:rPr>
          <w:rFonts w:ascii="Times New Roman" w:hAnsi="Times New Roman" w:eastAsia="MS Mincho"/>
          <w:b w:val="0"/>
          <w:i w:val="0"/>
          <w:sz w:val="24"/>
        </w:rPr>
        <w:t>bs construction demonstrates that the composition-driven tempo can be computed at negligible cost from existing OECD asset data. Second, the CWON and IWI programmes should consider publishing, alongside the point estimates, a set of joint-identified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360" w:lineRule="auto"/>
      </w:pPr>
      <w:r>
        <w:rPr>
          <w:rFonts w:ascii="Times New Roman" w:hAnsi="Times New Roman" w:eastAsia="MS Mincho"/>
          <w:b/>
          <w:i w:val="0"/>
          <w:sz w:val="28"/>
        </w:rPr>
        <w:t>Tables</w:t>
      </w:r>
    </w:p>
    <w:p>
      <w:pPr>
        <w:spacing w:after="120" w:line="360" w:lineRule="auto"/>
        <w:ind w:firstLine="480"/>
      </w:pPr>
      <w:r>
        <w:rPr>
          <w:rFonts w:ascii="Times New Roman" w:hAnsi="Times New Roman" w:eastAsia="MS Mincho"/>
          <w:b/>
          <w:i w:val="0"/>
          <w:sz w:val="24"/>
        </w:rPr>
        <w:t>Table 1.</w:t>
      </w:r>
      <w:r>
        <w:rPr>
          <w:rFonts w:ascii="Times New Roman" w:hAnsi="Times New Roman" w:eastAsia="MS Mincho"/>
          <w:b w:val="0"/>
          <w:i w:val="0"/>
          <w:sz w:val="24"/>
        </w:rPr>
        <w:t xml:space="preserve"> Population–capital correspondence.</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360" w:lineRule="auto"/>
        <w:ind w:firstLine="480"/>
      </w:pPr>
      <w:r>
        <w:rPr>
          <w:rFonts w:ascii="Times New Roman" w:hAnsi="Times New Roman" w:eastAsia="MS Mincho"/>
          <w:b/>
          <w:i w:val="0"/>
          <w:sz w:val="24"/>
        </w:rPr>
        <w:t>Table 2.</w:t>
      </w:r>
      <w:r>
        <w:rPr>
          <w:rFonts w:ascii="Times New Roman" w:hAnsi="Times New Roman" w:eastAsia="MS Mincho"/>
          <w:b w:val="0"/>
          <w:i w:val="0"/>
          <w:sz w:val="24"/>
        </w:rPr>
        <w:t xml:space="preserve"> M0–M4: In-sample and out-of-sample performance across 39 countries.</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i w:val="0"/>
          <w:sz w:val="24"/>
        </w:rPr>
        <w:t>Table 3.</w:t>
      </w:r>
      <w:r>
        <w:rPr>
          <w:rFonts w:ascii="Times New Roman" w:hAnsi="Times New Roman" w:eastAsia="MS Mincho"/>
          <w:b w:val="0"/>
          <w:i w:val="0"/>
          <w:sz w:val="24"/>
        </w:rPr>
        <w:t xml:space="preserve"> Relational PIM diagnostics: </w:t>
      </w:r>
      <w:r>
        <w:rPr>
          <w:rFonts w:ascii="Times New Roman" w:hAnsi="Times New Roman" w:eastAsia="MS Mincho"/>
          <w:b w:val="0"/>
          <w:i/>
          <w:sz w:val="24"/>
        </w:rPr>
        <w:t>ρ</w:t>
      </w:r>
      <w:r>
        <w:rPr>
          <w:rFonts w:ascii="Times New Roman" w:hAnsi="Times New Roman" w:eastAsia="MS Mincho"/>
          <w:b w:val="0"/>
          <w:i w:val="0"/>
          <w:sz w:val="24"/>
        </w:rPr>
        <w:t>̂₂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4.</w:t>
      </w:r>
      <w:r>
        <w:rPr>
          <w:rFonts w:ascii="Times New Roman" w:hAnsi="Times New Roman" w:eastAsia="MS Mincho"/>
          <w:b w:val="0"/>
          <w:i w:val="0"/>
          <w:sz w:val="24"/>
        </w:rPr>
        <w:t xml:space="preserve">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5.</w:t>
      </w:r>
      <w:r>
        <w:rPr>
          <w:rFonts w:ascii="Times New Roman" w:hAnsi="Times New Roman" w:eastAsia="MS Mincho"/>
          <w:b w:val="0"/>
          <w:i w:val="0"/>
          <w:sz w:val="24"/>
        </w:rPr>
        <w:t xml:space="preserve"> Capital-level measurement consequences of observable tempo correction (M</w:t>
      </w:r>
      <w:r>
        <w:rPr>
          <w:rFonts w:ascii="Times New Roman" w:hAnsi="Times New Roman" w:eastAsia="MS Mincho"/>
          <w:b w:val="0"/>
          <w:i/>
          <w:sz w:val="24"/>
          <w:vertAlign w:val="subscript"/>
        </w:rPr>
        <w:t>o</w:t>
      </w:r>
      <w:r>
        <w:rPr>
          <w:rFonts w:ascii="Times New Roman" w:hAnsi="Times New Roman" w:eastAsia="MS Mincho"/>
          <w:b w:val="0"/>
          <w:i w:val="0"/>
          <w:sz w:val="24"/>
        </w:rPr>
        <w:t>bs vs M0), 2010–2019 country means: K-level percentage difference, TFP shift (percentage points), and implied labour-share shift (percentage points).</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K-level measurement consequences: K gap, TFP shift, and implied labour-share shift (2010-2019 country means).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881"/>
        <w:gridCol w:w="1881"/>
        <w:gridCol w:w="1881"/>
        <w:gridCol w:w="1881"/>
        <w:gridCol w:w="1881"/>
      </w:tblGrid>
      <w:tr>
        <w:tc>
          <w:tcPr>
            <w:tcW w:type="dxa" w:w="1881"/>
          </w:tcPr>
          <w:p>
            <w:r/>
            <w:r>
              <w:rPr>
                <w:rFonts w:ascii="Times New Roman" w:hAnsi="Times New Roman" w:eastAsia="MS Mincho"/>
                <w:b/>
                <w:i w:val="0"/>
                <w:sz w:val="20"/>
              </w:rPr>
              <w:t>Country</w:t>
            </w:r>
          </w:p>
        </w:tc>
        <w:tc>
          <w:tcPr>
            <w:tcW w:type="dxa" w:w="1881"/>
          </w:tcPr>
          <w:p>
            <w:r/>
            <w:r>
              <w:rPr>
                <w:rFonts w:ascii="Times New Roman" w:hAnsi="Times New Roman" w:eastAsia="MS Mincho"/>
                <w:b/>
                <w:i w:val="0"/>
                <w:sz w:val="20"/>
              </w:rPr>
              <w:t>ISO3</w:t>
            </w:r>
          </w:p>
        </w:tc>
        <w:tc>
          <w:tcPr>
            <w:tcW w:type="dxa" w:w="1881"/>
          </w:tcPr>
          <w:p>
            <w:r/>
            <w:r>
              <w:rPr>
                <w:rFonts w:ascii="Times New Roman" w:hAnsi="Times New Roman" w:eastAsia="MS Mincho"/>
                <w:b/>
                <w:i w:val="0"/>
                <w:sz w:val="20"/>
              </w:rPr>
              <w:t>K gap (%)</w:t>
            </w:r>
          </w:p>
        </w:tc>
        <w:tc>
          <w:tcPr>
            <w:tcW w:type="dxa" w:w="1881"/>
          </w:tcPr>
          <w:p>
            <w:r/>
            <w:r>
              <w:rPr>
                <w:rFonts w:ascii="Times New Roman" w:hAnsi="Times New Roman" w:eastAsia="MS Mincho"/>
                <w:b/>
                <w:i w:val="0"/>
                <w:sz w:val="20"/>
              </w:rPr>
              <w:t>TFP shift (pp)</w:t>
            </w:r>
          </w:p>
        </w:tc>
        <w:tc>
          <w:tcPr>
            <w:tcW w:type="dxa" w:w="1881"/>
          </w:tcPr>
          <w:p>
            <w:r/>
            <w:r>
              <w:rPr>
                <w:rFonts w:ascii="Times New Roman" w:hAnsi="Times New Roman" w:eastAsia="MS Mincho"/>
                <w:b/>
                <w:i w:val="0"/>
                <w:sz w:val="20"/>
              </w:rPr>
              <w:t>Labour-share shift (pp)</w:t>
            </w:r>
          </w:p>
        </w:tc>
      </w:tr>
      <w:tr>
        <w:tc>
          <w:tcPr>
            <w:tcW w:type="dxa" w:w="1881"/>
          </w:tcPr>
          <w:p>
            <w:r/>
            <w:r>
              <w:rPr>
                <w:rFonts w:ascii="Times New Roman" w:hAnsi="Times New Roman" w:eastAsia="MS Mincho"/>
                <w:b w:val="0"/>
                <w:i w:val="0"/>
                <w:sz w:val="20"/>
              </w:rPr>
              <w:t>Ireland</w:t>
            </w:r>
          </w:p>
        </w:tc>
        <w:tc>
          <w:tcPr>
            <w:tcW w:type="dxa" w:w="1881"/>
          </w:tcPr>
          <w:p>
            <w:r/>
            <w:r>
              <w:rPr>
                <w:rFonts w:ascii="Times New Roman" w:hAnsi="Times New Roman" w:eastAsia="MS Mincho"/>
                <w:b w:val="0"/>
                <w:i w:val="0"/>
                <w:sz w:val="20"/>
              </w:rPr>
              <w:t>IRL</w:t>
            </w:r>
          </w:p>
        </w:tc>
        <w:tc>
          <w:tcPr>
            <w:tcW w:type="dxa" w:w="1881"/>
          </w:tcPr>
          <w:p>
            <w:r/>
            <w:r>
              <w:rPr>
                <w:rFonts w:ascii="Times New Roman" w:hAnsi="Times New Roman" w:eastAsia="MS Mincho"/>
                <w:b w:val="0"/>
                <w:i w:val="0"/>
                <w:sz w:val="20"/>
              </w:rPr>
              <w:t>-9.17</w:t>
            </w:r>
          </w:p>
        </w:tc>
        <w:tc>
          <w:tcPr>
            <w:tcW w:type="dxa" w:w="1881"/>
          </w:tcPr>
          <w:p>
            <w:r/>
            <w:r>
              <w:rPr>
                <w:rFonts w:ascii="Times New Roman" w:hAnsi="Times New Roman" w:eastAsia="MS Mincho"/>
                <w:b w:val="0"/>
                <w:i w:val="0"/>
                <w:sz w:val="20"/>
              </w:rPr>
              <w:t>-4.64</w:t>
            </w:r>
          </w:p>
        </w:tc>
        <w:tc>
          <w:tcPr>
            <w:tcW w:type="dxa" w:w="1881"/>
          </w:tcPr>
          <w:p>
            <w:r/>
            <w:r>
              <w:rPr>
                <w:rFonts w:ascii="Times New Roman" w:hAnsi="Times New Roman" w:eastAsia="MS Mincho"/>
                <w:b w:val="0"/>
                <w:i w:val="0"/>
                <w:sz w:val="20"/>
              </w:rPr>
              <w:t>4.64</w:t>
            </w:r>
          </w:p>
        </w:tc>
      </w:tr>
      <w:tr>
        <w:tc>
          <w:tcPr>
            <w:tcW w:type="dxa" w:w="1881"/>
          </w:tcPr>
          <w:p>
            <w:r/>
            <w:r>
              <w:rPr>
                <w:rFonts w:ascii="Times New Roman" w:hAnsi="Times New Roman" w:eastAsia="MS Mincho"/>
                <w:b w:val="0"/>
                <w:i w:val="0"/>
                <w:sz w:val="20"/>
              </w:rPr>
              <w:t>Costa Rica</w:t>
            </w:r>
          </w:p>
        </w:tc>
        <w:tc>
          <w:tcPr>
            <w:tcW w:type="dxa" w:w="1881"/>
          </w:tcPr>
          <w:p>
            <w:r/>
            <w:r>
              <w:rPr>
                <w:rFonts w:ascii="Times New Roman" w:hAnsi="Times New Roman" w:eastAsia="MS Mincho"/>
                <w:b w:val="0"/>
                <w:i w:val="0"/>
                <w:sz w:val="20"/>
              </w:rPr>
              <w:t>CRI</w:t>
            </w:r>
          </w:p>
        </w:tc>
        <w:tc>
          <w:tcPr>
            <w:tcW w:type="dxa" w:w="1881"/>
          </w:tcPr>
          <w:p>
            <w:r/>
            <w:r>
              <w:rPr>
                <w:rFonts w:ascii="Times New Roman" w:hAnsi="Times New Roman" w:eastAsia="MS Mincho"/>
                <w:b w:val="0"/>
                <w:i w:val="0"/>
                <w:sz w:val="20"/>
              </w:rPr>
              <w:t>-7.25</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Republic of Korea</w:t>
            </w:r>
          </w:p>
        </w:tc>
        <w:tc>
          <w:tcPr>
            <w:tcW w:type="dxa" w:w="1881"/>
          </w:tcPr>
          <w:p>
            <w:r/>
            <w:r>
              <w:rPr>
                <w:rFonts w:ascii="Times New Roman" w:hAnsi="Times New Roman" w:eastAsia="MS Mincho"/>
                <w:b w:val="0"/>
                <w:i w:val="0"/>
                <w:sz w:val="20"/>
              </w:rPr>
              <w:t>KOR</w:t>
            </w:r>
          </w:p>
        </w:tc>
        <w:tc>
          <w:tcPr>
            <w:tcW w:type="dxa" w:w="1881"/>
          </w:tcPr>
          <w:p>
            <w:r/>
            <w:r>
              <w:rPr>
                <w:rFonts w:ascii="Times New Roman" w:hAnsi="Times New Roman" w:eastAsia="MS Mincho"/>
                <w:b w:val="0"/>
                <w:i w:val="0"/>
                <w:sz w:val="20"/>
              </w:rPr>
              <w:t>-7.07</w:t>
            </w:r>
          </w:p>
        </w:tc>
        <w:tc>
          <w:tcPr>
            <w:tcW w:type="dxa" w:w="1881"/>
          </w:tcPr>
          <w:p>
            <w:r/>
            <w:r>
              <w:rPr>
                <w:rFonts w:ascii="Times New Roman" w:hAnsi="Times New Roman" w:eastAsia="MS Mincho"/>
                <w:b w:val="0"/>
                <w:i w:val="0"/>
                <w:sz w:val="20"/>
              </w:rPr>
              <w:t>-3.1</w:t>
            </w:r>
          </w:p>
        </w:tc>
        <w:tc>
          <w:tcPr>
            <w:tcW w:type="dxa" w:w="1881"/>
          </w:tcPr>
          <w:p>
            <w:r/>
            <w:r>
              <w:rPr>
                <w:rFonts w:ascii="Times New Roman" w:hAnsi="Times New Roman" w:eastAsia="MS Mincho"/>
                <w:b w:val="0"/>
                <w:i w:val="0"/>
                <w:sz w:val="20"/>
              </w:rPr>
              <w:t>3.1</w:t>
            </w:r>
          </w:p>
        </w:tc>
      </w:tr>
      <w:tr>
        <w:tc>
          <w:tcPr>
            <w:tcW w:type="dxa" w:w="1881"/>
          </w:tcPr>
          <w:p>
            <w:r/>
            <w:r>
              <w:rPr>
                <w:rFonts w:ascii="Times New Roman" w:hAnsi="Times New Roman" w:eastAsia="MS Mincho"/>
                <w:b w:val="0"/>
                <w:i w:val="0"/>
                <w:sz w:val="20"/>
              </w:rPr>
              <w:t>Slovakia</w:t>
            </w:r>
          </w:p>
        </w:tc>
        <w:tc>
          <w:tcPr>
            <w:tcW w:type="dxa" w:w="1881"/>
          </w:tcPr>
          <w:p>
            <w:r/>
            <w:r>
              <w:rPr>
                <w:rFonts w:ascii="Times New Roman" w:hAnsi="Times New Roman" w:eastAsia="MS Mincho"/>
                <w:b w:val="0"/>
                <w:i w:val="0"/>
                <w:sz w:val="20"/>
              </w:rPr>
              <w:t>SVK</w:t>
            </w:r>
          </w:p>
        </w:tc>
        <w:tc>
          <w:tcPr>
            <w:tcW w:type="dxa" w:w="1881"/>
          </w:tcPr>
          <w:p>
            <w:r/>
            <w:r>
              <w:rPr>
                <w:rFonts w:ascii="Times New Roman" w:hAnsi="Times New Roman" w:eastAsia="MS Mincho"/>
                <w:b w:val="0"/>
                <w:i w:val="0"/>
                <w:sz w:val="20"/>
              </w:rPr>
              <w:t>-6.72</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Israel</w:t>
            </w:r>
          </w:p>
        </w:tc>
        <w:tc>
          <w:tcPr>
            <w:tcW w:type="dxa" w:w="1881"/>
          </w:tcPr>
          <w:p>
            <w:r/>
            <w:r>
              <w:rPr>
                <w:rFonts w:ascii="Times New Roman" w:hAnsi="Times New Roman" w:eastAsia="MS Mincho"/>
                <w:b w:val="0"/>
                <w:i w:val="0"/>
                <w:sz w:val="20"/>
              </w:rPr>
              <w:t>ISR</w:t>
            </w:r>
          </w:p>
        </w:tc>
        <w:tc>
          <w:tcPr>
            <w:tcW w:type="dxa" w:w="1881"/>
          </w:tcPr>
          <w:p>
            <w:r/>
            <w:r>
              <w:rPr>
                <w:rFonts w:ascii="Times New Roman" w:hAnsi="Times New Roman" w:eastAsia="MS Mincho"/>
                <w:b w:val="0"/>
                <w:i w:val="0"/>
                <w:sz w:val="20"/>
              </w:rPr>
              <w:t>-6.39</w:t>
            </w:r>
          </w:p>
        </w:tc>
        <w:tc>
          <w:tcPr>
            <w:tcW w:type="dxa" w:w="1881"/>
          </w:tcPr>
          <w:p>
            <w:r/>
            <w:r>
              <w:rPr>
                <w:rFonts w:ascii="Times New Roman" w:hAnsi="Times New Roman" w:eastAsia="MS Mincho"/>
                <w:b w:val="0"/>
                <w:i w:val="0"/>
                <w:sz w:val="20"/>
              </w:rPr>
              <w:t>-2.8</w:t>
            </w:r>
          </w:p>
        </w:tc>
        <w:tc>
          <w:tcPr>
            <w:tcW w:type="dxa" w:w="1881"/>
          </w:tcPr>
          <w:p>
            <w:r/>
            <w:r>
              <w:rPr>
                <w:rFonts w:ascii="Times New Roman" w:hAnsi="Times New Roman" w:eastAsia="MS Mincho"/>
                <w:b w:val="0"/>
                <w:i w:val="0"/>
                <w:sz w:val="20"/>
              </w:rPr>
              <w:t>2.8</w:t>
            </w:r>
          </w:p>
        </w:tc>
      </w:tr>
      <w:tr>
        <w:tc>
          <w:tcPr>
            <w:tcW w:type="dxa" w:w="1881"/>
          </w:tcPr>
          <w:p>
            <w:r/>
            <w:r>
              <w:rPr>
                <w:rFonts w:ascii="Times New Roman" w:hAnsi="Times New Roman" w:eastAsia="MS Mincho"/>
                <w:b w:val="0"/>
                <w:i w:val="0"/>
                <w:sz w:val="20"/>
              </w:rPr>
              <w:t>Lithuania</w:t>
            </w:r>
          </w:p>
        </w:tc>
        <w:tc>
          <w:tcPr>
            <w:tcW w:type="dxa" w:w="1881"/>
          </w:tcPr>
          <w:p>
            <w:r/>
            <w:r>
              <w:rPr>
                <w:rFonts w:ascii="Times New Roman" w:hAnsi="Times New Roman" w:eastAsia="MS Mincho"/>
                <w:b w:val="0"/>
                <w:i w:val="0"/>
                <w:sz w:val="20"/>
              </w:rPr>
              <w:t>LTU</w:t>
            </w:r>
          </w:p>
        </w:tc>
        <w:tc>
          <w:tcPr>
            <w:tcW w:type="dxa" w:w="1881"/>
          </w:tcPr>
          <w:p>
            <w:r/>
            <w:r>
              <w:rPr>
                <w:rFonts w:ascii="Times New Roman" w:hAnsi="Times New Roman" w:eastAsia="MS Mincho"/>
                <w:b w:val="0"/>
                <w:i w:val="0"/>
                <w:sz w:val="20"/>
              </w:rPr>
              <w:t>-6.34</w:t>
            </w:r>
          </w:p>
        </w:tc>
        <w:tc>
          <w:tcPr>
            <w:tcW w:type="dxa" w:w="1881"/>
          </w:tcPr>
          <w:p>
            <w:r/>
            <w:r>
              <w:rPr>
                <w:rFonts w:ascii="Times New Roman" w:hAnsi="Times New Roman" w:eastAsia="MS Mincho"/>
                <w:b w:val="0"/>
                <w:i w:val="0"/>
                <w:sz w:val="20"/>
              </w:rPr>
              <w:t>-3.21</w:t>
            </w:r>
          </w:p>
        </w:tc>
        <w:tc>
          <w:tcPr>
            <w:tcW w:type="dxa" w:w="1881"/>
          </w:tcPr>
          <w:p>
            <w:r/>
            <w:r>
              <w:rPr>
                <w:rFonts w:ascii="Times New Roman" w:hAnsi="Times New Roman" w:eastAsia="MS Mincho"/>
                <w:b w:val="0"/>
                <w:i w:val="0"/>
                <w:sz w:val="20"/>
              </w:rPr>
              <w:t>3.21</w:t>
            </w:r>
          </w:p>
        </w:tc>
      </w:tr>
      <w:tr>
        <w:tc>
          <w:tcPr>
            <w:tcW w:type="dxa" w:w="1881"/>
          </w:tcPr>
          <w:p>
            <w:r/>
            <w:r>
              <w:rPr>
                <w:rFonts w:ascii="Times New Roman" w:hAnsi="Times New Roman" w:eastAsia="MS Mincho"/>
                <w:b w:val="0"/>
                <w:i w:val="0"/>
                <w:sz w:val="20"/>
              </w:rPr>
              <w:t>Estonia</w:t>
            </w:r>
          </w:p>
        </w:tc>
        <w:tc>
          <w:tcPr>
            <w:tcW w:type="dxa" w:w="1881"/>
          </w:tcPr>
          <w:p>
            <w:r/>
            <w:r>
              <w:rPr>
                <w:rFonts w:ascii="Times New Roman" w:hAnsi="Times New Roman" w:eastAsia="MS Mincho"/>
                <w:b w:val="0"/>
                <w:i w:val="0"/>
                <w:sz w:val="20"/>
              </w:rPr>
              <w:t>EST</w:t>
            </w:r>
          </w:p>
        </w:tc>
        <w:tc>
          <w:tcPr>
            <w:tcW w:type="dxa" w:w="1881"/>
          </w:tcPr>
          <w:p>
            <w:r/>
            <w:r>
              <w:rPr>
                <w:rFonts w:ascii="Times New Roman" w:hAnsi="Times New Roman" w:eastAsia="MS Mincho"/>
                <w:b w:val="0"/>
                <w:i w:val="0"/>
                <w:sz w:val="20"/>
              </w:rPr>
              <w:t>-6.19</w:t>
            </w:r>
          </w:p>
        </w:tc>
        <w:tc>
          <w:tcPr>
            <w:tcW w:type="dxa" w:w="1881"/>
          </w:tcPr>
          <w:p>
            <w:r/>
            <w:r>
              <w:rPr>
                <w:rFonts w:ascii="Times New Roman" w:hAnsi="Times New Roman" w:eastAsia="MS Mincho"/>
                <w:b w:val="0"/>
                <w:i w:val="0"/>
                <w:sz w:val="20"/>
              </w:rPr>
              <w:t>-2.58</w:t>
            </w:r>
          </w:p>
        </w:tc>
        <w:tc>
          <w:tcPr>
            <w:tcW w:type="dxa" w:w="1881"/>
          </w:tcPr>
          <w:p>
            <w:r/>
            <w:r>
              <w:rPr>
                <w:rFonts w:ascii="Times New Roman" w:hAnsi="Times New Roman" w:eastAsia="MS Mincho"/>
                <w:b w:val="0"/>
                <w:i w:val="0"/>
                <w:sz w:val="20"/>
              </w:rPr>
              <w:t>2.58</w:t>
            </w:r>
          </w:p>
        </w:tc>
      </w:tr>
      <w:tr>
        <w:tc>
          <w:tcPr>
            <w:tcW w:type="dxa" w:w="1881"/>
          </w:tcPr>
          <w:p>
            <w:r/>
            <w:r>
              <w:rPr>
                <w:rFonts w:ascii="Times New Roman" w:hAnsi="Times New Roman" w:eastAsia="MS Mincho"/>
                <w:b w:val="0"/>
                <w:i w:val="0"/>
                <w:sz w:val="20"/>
              </w:rPr>
              <w:t>Luxembourg</w:t>
            </w:r>
          </w:p>
        </w:tc>
        <w:tc>
          <w:tcPr>
            <w:tcW w:type="dxa" w:w="1881"/>
          </w:tcPr>
          <w:p>
            <w:r/>
            <w:r>
              <w:rPr>
                <w:rFonts w:ascii="Times New Roman" w:hAnsi="Times New Roman" w:eastAsia="MS Mincho"/>
                <w:b w:val="0"/>
                <w:i w:val="0"/>
                <w:sz w:val="20"/>
              </w:rPr>
              <w:t>LUX</w:t>
            </w:r>
          </w:p>
        </w:tc>
        <w:tc>
          <w:tcPr>
            <w:tcW w:type="dxa" w:w="1881"/>
          </w:tcPr>
          <w:p>
            <w:r/>
            <w:r>
              <w:rPr>
                <w:rFonts w:ascii="Times New Roman" w:hAnsi="Times New Roman" w:eastAsia="MS Mincho"/>
                <w:b w:val="0"/>
                <w:i w:val="0"/>
                <w:sz w:val="20"/>
              </w:rPr>
              <w:t>-5.87</w:t>
            </w:r>
          </w:p>
        </w:tc>
        <w:tc>
          <w:tcPr>
            <w:tcW w:type="dxa" w:w="1881"/>
          </w:tcPr>
          <w:p>
            <w:r/>
            <w:r>
              <w:rPr>
                <w:rFonts w:ascii="Times New Roman" w:hAnsi="Times New Roman" w:eastAsia="MS Mincho"/>
                <w:b w:val="0"/>
                <w:i w:val="0"/>
                <w:sz w:val="20"/>
              </w:rPr>
              <w:t>-2.72</w:t>
            </w:r>
          </w:p>
        </w:tc>
        <w:tc>
          <w:tcPr>
            <w:tcW w:type="dxa" w:w="1881"/>
          </w:tcPr>
          <w:p>
            <w:r/>
            <w:r>
              <w:rPr>
                <w:rFonts w:ascii="Times New Roman" w:hAnsi="Times New Roman" w:eastAsia="MS Mincho"/>
                <w:b w:val="0"/>
                <w:i w:val="0"/>
                <w:sz w:val="20"/>
              </w:rPr>
              <w:t>2.72</w:t>
            </w:r>
          </w:p>
        </w:tc>
      </w:tr>
      <w:tr>
        <w:tc>
          <w:tcPr>
            <w:tcW w:type="dxa" w:w="1881"/>
          </w:tcPr>
          <w:p>
            <w:r/>
            <w:r>
              <w:rPr>
                <w:rFonts w:ascii="Times New Roman" w:hAnsi="Times New Roman" w:eastAsia="MS Mincho"/>
                <w:b w:val="0"/>
                <w:i w:val="0"/>
                <w:sz w:val="20"/>
              </w:rPr>
              <w:t>Czech Republic</w:t>
            </w:r>
          </w:p>
        </w:tc>
        <w:tc>
          <w:tcPr>
            <w:tcW w:type="dxa" w:w="1881"/>
          </w:tcPr>
          <w:p>
            <w:r/>
            <w:r>
              <w:rPr>
                <w:rFonts w:ascii="Times New Roman" w:hAnsi="Times New Roman" w:eastAsia="MS Mincho"/>
                <w:b w:val="0"/>
                <w:i w:val="0"/>
                <w:sz w:val="20"/>
              </w:rPr>
              <w:t>CZE</w:t>
            </w:r>
          </w:p>
        </w:tc>
        <w:tc>
          <w:tcPr>
            <w:tcW w:type="dxa" w:w="1881"/>
          </w:tcPr>
          <w:p>
            <w:r/>
            <w:r>
              <w:rPr>
                <w:rFonts w:ascii="Times New Roman" w:hAnsi="Times New Roman" w:eastAsia="MS Mincho"/>
                <w:b w:val="0"/>
                <w:i w:val="0"/>
                <w:sz w:val="20"/>
              </w:rPr>
              <w:t>-5.42</w:t>
            </w:r>
          </w:p>
        </w:tc>
        <w:tc>
          <w:tcPr>
            <w:tcW w:type="dxa" w:w="1881"/>
          </w:tcPr>
          <w:p>
            <w:r/>
            <w:r>
              <w:rPr>
                <w:rFonts w:ascii="Times New Roman" w:hAnsi="Times New Roman" w:eastAsia="MS Mincho"/>
                <w:b w:val="0"/>
                <w:i w:val="0"/>
                <w:sz w:val="20"/>
              </w:rPr>
              <w:t>-2.66</w:t>
            </w:r>
          </w:p>
        </w:tc>
        <w:tc>
          <w:tcPr>
            <w:tcW w:type="dxa" w:w="1881"/>
          </w:tcPr>
          <w:p>
            <w:r/>
            <w:r>
              <w:rPr>
                <w:rFonts w:ascii="Times New Roman" w:hAnsi="Times New Roman" w:eastAsia="MS Mincho"/>
                <w:b w:val="0"/>
                <w:i w:val="0"/>
                <w:sz w:val="20"/>
              </w:rPr>
              <w:t>2.66</w:t>
            </w:r>
          </w:p>
        </w:tc>
      </w:tr>
      <w:tr>
        <w:tc>
          <w:tcPr>
            <w:tcW w:type="dxa" w:w="1881"/>
          </w:tcPr>
          <w:p>
            <w:r/>
            <w:r>
              <w:rPr>
                <w:rFonts w:ascii="Times New Roman" w:hAnsi="Times New Roman" w:eastAsia="MS Mincho"/>
                <w:b w:val="0"/>
                <w:i w:val="0"/>
                <w:sz w:val="20"/>
              </w:rPr>
              <w:t>Poland</w:t>
            </w:r>
          </w:p>
        </w:tc>
        <w:tc>
          <w:tcPr>
            <w:tcW w:type="dxa" w:w="1881"/>
          </w:tcPr>
          <w:p>
            <w:r/>
            <w:r>
              <w:rPr>
                <w:rFonts w:ascii="Times New Roman" w:hAnsi="Times New Roman" w:eastAsia="MS Mincho"/>
                <w:b w:val="0"/>
                <w:i w:val="0"/>
                <w:sz w:val="20"/>
              </w:rPr>
              <w:t>POL</w:t>
            </w:r>
          </w:p>
        </w:tc>
        <w:tc>
          <w:tcPr>
            <w:tcW w:type="dxa" w:w="1881"/>
          </w:tcPr>
          <w:p>
            <w:r/>
            <w:r>
              <w:rPr>
                <w:rFonts w:ascii="Times New Roman" w:hAnsi="Times New Roman" w:eastAsia="MS Mincho"/>
                <w:b w:val="0"/>
                <w:i w:val="0"/>
                <w:sz w:val="20"/>
              </w:rPr>
              <w:t>-5.16</w:t>
            </w:r>
          </w:p>
        </w:tc>
        <w:tc>
          <w:tcPr>
            <w:tcW w:type="dxa" w:w="1881"/>
          </w:tcPr>
          <w:p>
            <w:r/>
            <w:r>
              <w:rPr>
                <w:rFonts w:ascii="Times New Roman" w:hAnsi="Times New Roman" w:eastAsia="MS Mincho"/>
                <w:b w:val="0"/>
                <w:i w:val="0"/>
                <w:sz w:val="20"/>
              </w:rPr>
              <w:t>-2.08</w:t>
            </w:r>
          </w:p>
        </w:tc>
        <w:tc>
          <w:tcPr>
            <w:tcW w:type="dxa" w:w="1881"/>
          </w:tcPr>
          <w:p>
            <w:r/>
            <w:r>
              <w:rPr>
                <w:rFonts w:ascii="Times New Roman" w:hAnsi="Times New Roman" w:eastAsia="MS Mincho"/>
                <w:b w:val="0"/>
                <w:i w:val="0"/>
                <w:sz w:val="20"/>
              </w:rPr>
              <w:t>2.08</w:t>
            </w:r>
          </w:p>
        </w:tc>
      </w:tr>
      <w:tr>
        <w:tc>
          <w:tcPr>
            <w:tcW w:type="dxa" w:w="1881"/>
          </w:tcPr>
          <w:p>
            <w:r/>
            <w:r>
              <w:rPr>
                <w:rFonts w:ascii="Times New Roman" w:hAnsi="Times New Roman" w:eastAsia="MS Mincho"/>
                <w:b w:val="0"/>
                <w:i w:val="0"/>
                <w:sz w:val="20"/>
              </w:rPr>
              <w:t>Colombia</w:t>
            </w:r>
          </w:p>
        </w:tc>
        <w:tc>
          <w:tcPr>
            <w:tcW w:type="dxa" w:w="1881"/>
          </w:tcPr>
          <w:p>
            <w:r/>
            <w:r>
              <w:rPr>
                <w:rFonts w:ascii="Times New Roman" w:hAnsi="Times New Roman" w:eastAsia="MS Mincho"/>
                <w:b w:val="0"/>
                <w:i w:val="0"/>
                <w:sz w:val="20"/>
              </w:rPr>
              <w:t>COL</w:t>
            </w:r>
          </w:p>
        </w:tc>
        <w:tc>
          <w:tcPr>
            <w:tcW w:type="dxa" w:w="1881"/>
          </w:tcPr>
          <w:p>
            <w:r/>
            <w:r>
              <w:rPr>
                <w:rFonts w:ascii="Times New Roman" w:hAnsi="Times New Roman" w:eastAsia="MS Mincho"/>
                <w:b w:val="0"/>
                <w:i w:val="0"/>
                <w:sz w:val="20"/>
              </w:rPr>
              <w:t>-5.05</w:t>
            </w:r>
          </w:p>
        </w:tc>
        <w:tc>
          <w:tcPr>
            <w:tcW w:type="dxa" w:w="1881"/>
          </w:tcPr>
          <w:p>
            <w:r/>
            <w:r>
              <w:rPr>
                <w:rFonts w:ascii="Times New Roman" w:hAnsi="Times New Roman" w:eastAsia="MS Mincho"/>
                <w:b w:val="0"/>
                <w:i w:val="0"/>
                <w:sz w:val="20"/>
              </w:rPr>
              <w:t>-2.71</w:t>
            </w:r>
          </w:p>
        </w:tc>
        <w:tc>
          <w:tcPr>
            <w:tcW w:type="dxa" w:w="1881"/>
          </w:tcPr>
          <w:p>
            <w:r/>
            <w:r>
              <w:rPr>
                <w:rFonts w:ascii="Times New Roman" w:hAnsi="Times New Roman" w:eastAsia="MS Mincho"/>
                <w:b w:val="0"/>
                <w:i w:val="0"/>
                <w:sz w:val="20"/>
              </w:rPr>
              <w:t>2.71</w:t>
            </w:r>
          </w:p>
        </w:tc>
      </w:tr>
      <w:tr>
        <w:tc>
          <w:tcPr>
            <w:tcW w:type="dxa" w:w="1881"/>
          </w:tcPr>
          <w:p>
            <w:r/>
            <w:r>
              <w:rPr>
                <w:rFonts w:ascii="Times New Roman" w:hAnsi="Times New Roman" w:eastAsia="MS Mincho"/>
                <w:b w:val="0"/>
                <w:i w:val="0"/>
                <w:sz w:val="20"/>
              </w:rPr>
              <w:t>Belgium</w:t>
            </w:r>
          </w:p>
        </w:tc>
        <w:tc>
          <w:tcPr>
            <w:tcW w:type="dxa" w:w="1881"/>
          </w:tcPr>
          <w:p>
            <w:r/>
            <w:r>
              <w:rPr>
                <w:rFonts w:ascii="Times New Roman" w:hAnsi="Times New Roman" w:eastAsia="MS Mincho"/>
                <w:b w:val="0"/>
                <w:i w:val="0"/>
                <w:sz w:val="20"/>
              </w:rPr>
              <w:t>BEL</w:t>
            </w:r>
          </w:p>
        </w:tc>
        <w:tc>
          <w:tcPr>
            <w:tcW w:type="dxa" w:w="1881"/>
          </w:tcPr>
          <w:p>
            <w:r/>
            <w:r>
              <w:rPr>
                <w:rFonts w:ascii="Times New Roman" w:hAnsi="Times New Roman" w:eastAsia="MS Mincho"/>
                <w:b w:val="0"/>
                <w:i w:val="0"/>
                <w:sz w:val="20"/>
              </w:rPr>
              <w:t>-4.99</w:t>
            </w:r>
          </w:p>
        </w:tc>
        <w:tc>
          <w:tcPr>
            <w:tcW w:type="dxa" w:w="1881"/>
          </w:tcPr>
          <w:p>
            <w:r/>
            <w:r>
              <w:rPr>
                <w:rFonts w:ascii="Times New Roman" w:hAnsi="Times New Roman" w:eastAsia="MS Mincho"/>
                <w:b w:val="0"/>
                <w:i w:val="0"/>
                <w:sz w:val="20"/>
              </w:rPr>
              <w:t>-1.89</w:t>
            </w:r>
          </w:p>
        </w:tc>
        <w:tc>
          <w:tcPr>
            <w:tcW w:type="dxa" w:w="1881"/>
          </w:tcPr>
          <w:p>
            <w:r/>
            <w:r>
              <w:rPr>
                <w:rFonts w:ascii="Times New Roman" w:hAnsi="Times New Roman" w:eastAsia="MS Mincho"/>
                <w:b w:val="0"/>
                <w:i w:val="0"/>
                <w:sz w:val="20"/>
              </w:rPr>
              <w:t>1.89</w:t>
            </w:r>
          </w:p>
        </w:tc>
      </w:tr>
      <w:tr>
        <w:tc>
          <w:tcPr>
            <w:tcW w:type="dxa" w:w="1881"/>
          </w:tcPr>
          <w:p>
            <w:r/>
            <w:r>
              <w:rPr>
                <w:rFonts w:ascii="Times New Roman" w:hAnsi="Times New Roman" w:eastAsia="MS Mincho"/>
                <w:b w:val="0"/>
                <w:i w:val="0"/>
                <w:sz w:val="20"/>
              </w:rPr>
              <w:t>Canada</w:t>
            </w:r>
          </w:p>
        </w:tc>
        <w:tc>
          <w:tcPr>
            <w:tcW w:type="dxa" w:w="1881"/>
          </w:tcPr>
          <w:p>
            <w:r/>
            <w:r>
              <w:rPr>
                <w:rFonts w:ascii="Times New Roman" w:hAnsi="Times New Roman" w:eastAsia="MS Mincho"/>
                <w:b w:val="0"/>
                <w:i w:val="0"/>
                <w:sz w:val="20"/>
              </w:rPr>
              <w:t>CAN</w:t>
            </w:r>
          </w:p>
        </w:tc>
        <w:tc>
          <w:tcPr>
            <w:tcW w:type="dxa" w:w="1881"/>
          </w:tcPr>
          <w:p>
            <w:r/>
            <w:r>
              <w:rPr>
                <w:rFonts w:ascii="Times New Roman" w:hAnsi="Times New Roman" w:eastAsia="MS Mincho"/>
                <w:b w:val="0"/>
                <w:i w:val="0"/>
                <w:sz w:val="20"/>
              </w:rPr>
              <w:t>-4.85</w:t>
            </w:r>
          </w:p>
        </w:tc>
        <w:tc>
          <w:tcPr>
            <w:tcW w:type="dxa" w:w="1881"/>
          </w:tcPr>
          <w:p>
            <w:r/>
            <w:r>
              <w:rPr>
                <w:rFonts w:ascii="Times New Roman" w:hAnsi="Times New Roman" w:eastAsia="MS Mincho"/>
                <w:b w:val="0"/>
                <w:i w:val="0"/>
                <w:sz w:val="20"/>
              </w:rPr>
              <w:t>-1.45</w:t>
            </w:r>
          </w:p>
        </w:tc>
        <w:tc>
          <w:tcPr>
            <w:tcW w:type="dxa" w:w="1881"/>
          </w:tcPr>
          <w:p>
            <w:r/>
            <w:r>
              <w:rPr>
                <w:rFonts w:ascii="Times New Roman" w:hAnsi="Times New Roman" w:eastAsia="MS Mincho"/>
                <w:b w:val="0"/>
                <w:i w:val="0"/>
                <w:sz w:val="20"/>
              </w:rPr>
              <w:t>1.45</w:t>
            </w:r>
          </w:p>
        </w:tc>
      </w:tr>
      <w:tr>
        <w:tc>
          <w:tcPr>
            <w:tcW w:type="dxa" w:w="1881"/>
          </w:tcPr>
          <w:p>
            <w:r/>
            <w:r>
              <w:rPr>
                <w:rFonts w:ascii="Times New Roman" w:hAnsi="Times New Roman" w:eastAsia="MS Mincho"/>
                <w:b w:val="0"/>
                <w:i w:val="0"/>
                <w:sz w:val="20"/>
              </w:rPr>
              <w:t>Australia</w:t>
            </w:r>
          </w:p>
        </w:tc>
        <w:tc>
          <w:tcPr>
            <w:tcW w:type="dxa" w:w="1881"/>
          </w:tcPr>
          <w:p>
            <w:r/>
            <w:r>
              <w:rPr>
                <w:rFonts w:ascii="Times New Roman" w:hAnsi="Times New Roman" w:eastAsia="MS Mincho"/>
                <w:b w:val="0"/>
                <w:i w:val="0"/>
                <w:sz w:val="20"/>
              </w:rPr>
              <w:t>AUS</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-1.79</w:t>
            </w:r>
          </w:p>
        </w:tc>
        <w:tc>
          <w:tcPr>
            <w:tcW w:type="dxa" w:w="1881"/>
          </w:tcPr>
          <w:p>
            <w:r/>
            <w:r>
              <w:rPr>
                <w:rFonts w:ascii="Times New Roman" w:hAnsi="Times New Roman" w:eastAsia="MS Mincho"/>
                <w:b w:val="0"/>
                <w:i w:val="0"/>
                <w:sz w:val="20"/>
              </w:rPr>
              <w:t>1.79</w:t>
            </w:r>
          </w:p>
        </w:tc>
      </w:tr>
      <w:tr>
        <w:tc>
          <w:tcPr>
            <w:tcW w:type="dxa" w:w="1881"/>
          </w:tcPr>
          <w:p>
            <w:r/>
            <w:r>
              <w:rPr>
                <w:rFonts w:ascii="Times New Roman" w:hAnsi="Times New Roman" w:eastAsia="MS Mincho"/>
                <w:b w:val="0"/>
                <w:i w:val="0"/>
                <w:sz w:val="20"/>
              </w:rPr>
              <w:t>Mexico</w:t>
            </w:r>
          </w:p>
        </w:tc>
        <w:tc>
          <w:tcPr>
            <w:tcW w:type="dxa" w:w="1881"/>
          </w:tcPr>
          <w:p>
            <w:r/>
            <w:r>
              <w:rPr>
                <w:rFonts w:ascii="Times New Roman" w:hAnsi="Times New Roman" w:eastAsia="MS Mincho"/>
                <w:b w:val="0"/>
                <w:i w:val="0"/>
                <w:sz w:val="20"/>
              </w:rPr>
              <w:t>MEX</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-2.93</w:t>
            </w:r>
          </w:p>
        </w:tc>
        <w:tc>
          <w:tcPr>
            <w:tcW w:type="dxa" w:w="1881"/>
          </w:tcPr>
          <w:p>
            <w:r/>
            <w:r>
              <w:rPr>
                <w:rFonts w:ascii="Times New Roman" w:hAnsi="Times New Roman" w:eastAsia="MS Mincho"/>
                <w:b w:val="0"/>
                <w:i w:val="0"/>
                <w:sz w:val="20"/>
              </w:rPr>
              <w:t>2.93</w:t>
            </w:r>
          </w:p>
        </w:tc>
      </w:tr>
      <w:tr>
        <w:tc>
          <w:tcPr>
            <w:tcW w:type="dxa" w:w="1881"/>
          </w:tcPr>
          <w:p>
            <w:r/>
            <w:r>
              <w:rPr>
                <w:rFonts w:ascii="Times New Roman" w:hAnsi="Times New Roman" w:eastAsia="MS Mincho"/>
                <w:b w:val="0"/>
                <w:i w:val="0"/>
                <w:sz w:val="20"/>
              </w:rPr>
              <w:t>Slovenia</w:t>
            </w:r>
          </w:p>
        </w:tc>
        <w:tc>
          <w:tcPr>
            <w:tcW w:type="dxa" w:w="1881"/>
          </w:tcPr>
          <w:p>
            <w:r/>
            <w:r>
              <w:rPr>
                <w:rFonts w:ascii="Times New Roman" w:hAnsi="Times New Roman" w:eastAsia="MS Mincho"/>
                <w:b w:val="0"/>
                <w:i w:val="0"/>
                <w:sz w:val="20"/>
              </w:rPr>
              <w:t>SVN</w:t>
            </w:r>
          </w:p>
        </w:tc>
        <w:tc>
          <w:tcPr>
            <w:tcW w:type="dxa" w:w="1881"/>
          </w:tcPr>
          <w:p>
            <w:r/>
            <w:r>
              <w:rPr>
                <w:rFonts w:ascii="Times New Roman" w:hAnsi="Times New Roman" w:eastAsia="MS Mincho"/>
                <w:b w:val="0"/>
                <w:i w:val="0"/>
                <w:sz w:val="20"/>
              </w:rPr>
              <w:t>-4.38</w:t>
            </w:r>
          </w:p>
        </w:tc>
        <w:tc>
          <w:tcPr>
            <w:tcW w:type="dxa" w:w="1881"/>
          </w:tcPr>
          <w:p>
            <w:r/>
            <w:r>
              <w:rPr>
                <w:rFonts w:ascii="Times New Roman" w:hAnsi="Times New Roman" w:eastAsia="MS Mincho"/>
                <w:b w:val="0"/>
                <w:i w:val="0"/>
                <w:sz w:val="20"/>
              </w:rPr>
              <w:t>-1.5</w:t>
            </w:r>
          </w:p>
        </w:tc>
        <w:tc>
          <w:tcPr>
            <w:tcW w:type="dxa" w:w="1881"/>
          </w:tcPr>
          <w:p>
            <w:r/>
            <w:r>
              <w:rPr>
                <w:rFonts w:ascii="Times New Roman" w:hAnsi="Times New Roman" w:eastAsia="MS Mincho"/>
                <w:b w:val="0"/>
                <w:i w:val="0"/>
                <w:sz w:val="20"/>
              </w:rPr>
              <w:t>1.5</w:t>
            </w:r>
          </w:p>
        </w:tc>
      </w:tr>
      <w:tr>
        <w:tc>
          <w:tcPr>
            <w:tcW w:type="dxa" w:w="1881"/>
          </w:tcPr>
          <w:p>
            <w:r/>
            <w:r>
              <w:rPr>
                <w:rFonts w:ascii="Times New Roman" w:hAnsi="Times New Roman" w:eastAsia="MS Mincho"/>
                <w:b w:val="0"/>
                <w:i w:val="0"/>
                <w:sz w:val="20"/>
              </w:rPr>
              <w:t>France</w:t>
            </w:r>
          </w:p>
        </w:tc>
        <w:tc>
          <w:tcPr>
            <w:tcW w:type="dxa" w:w="1881"/>
          </w:tcPr>
          <w:p>
            <w:r/>
            <w:r>
              <w:rPr>
                <w:rFonts w:ascii="Times New Roman" w:hAnsi="Times New Roman" w:eastAsia="MS Mincho"/>
                <w:b w:val="0"/>
                <w:i w:val="0"/>
                <w:sz w:val="20"/>
              </w:rPr>
              <w:t>FRA</w:t>
            </w:r>
          </w:p>
        </w:tc>
        <w:tc>
          <w:tcPr>
            <w:tcW w:type="dxa" w:w="1881"/>
          </w:tcPr>
          <w:p>
            <w:r/>
            <w:r>
              <w:rPr>
                <w:rFonts w:ascii="Times New Roman" w:hAnsi="Times New Roman" w:eastAsia="MS Mincho"/>
                <w:b w:val="0"/>
                <w:i w:val="0"/>
                <w:sz w:val="20"/>
              </w:rPr>
              <w:t>-4.33</w:t>
            </w:r>
          </w:p>
        </w:tc>
        <w:tc>
          <w:tcPr>
            <w:tcW w:type="dxa" w:w="1881"/>
          </w:tcPr>
          <w:p>
            <w:r/>
            <w:r>
              <w:rPr>
                <w:rFonts w:ascii="Times New Roman" w:hAnsi="Times New Roman" w:eastAsia="MS Mincho"/>
                <w:b w:val="0"/>
                <w:i w:val="0"/>
                <w:sz w:val="20"/>
              </w:rPr>
              <w:t>-1.56</w:t>
            </w:r>
          </w:p>
        </w:tc>
        <w:tc>
          <w:tcPr>
            <w:tcW w:type="dxa" w:w="1881"/>
          </w:tcPr>
          <w:p>
            <w:r/>
            <w:r>
              <w:rPr>
                <w:rFonts w:ascii="Times New Roman" w:hAnsi="Times New Roman" w:eastAsia="MS Mincho"/>
                <w:b w:val="0"/>
                <w:i w:val="0"/>
                <w:sz w:val="20"/>
              </w:rPr>
              <w:t>1.56</w:t>
            </w:r>
          </w:p>
        </w:tc>
      </w:tr>
      <w:tr>
        <w:tc>
          <w:tcPr>
            <w:tcW w:type="dxa" w:w="1881"/>
          </w:tcPr>
          <w:p>
            <w:r/>
            <w:r>
              <w:rPr>
                <w:rFonts w:ascii="Times New Roman" w:hAnsi="Times New Roman" w:eastAsia="MS Mincho"/>
                <w:b w:val="0"/>
                <w:i w:val="0"/>
                <w:sz w:val="20"/>
              </w:rPr>
              <w:t>Netherlands</w:t>
            </w:r>
          </w:p>
        </w:tc>
        <w:tc>
          <w:tcPr>
            <w:tcW w:type="dxa" w:w="1881"/>
          </w:tcPr>
          <w:p>
            <w:r/>
            <w:r>
              <w:rPr>
                <w:rFonts w:ascii="Times New Roman" w:hAnsi="Times New Roman" w:eastAsia="MS Mincho"/>
                <w:b w:val="0"/>
                <w:i w:val="0"/>
                <w:sz w:val="20"/>
              </w:rPr>
              <w:t>NLD</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-1.43</w:t>
            </w:r>
          </w:p>
        </w:tc>
        <w:tc>
          <w:tcPr>
            <w:tcW w:type="dxa" w:w="1881"/>
          </w:tcPr>
          <w:p>
            <w:r/>
            <w:r>
              <w:rPr>
                <w:rFonts w:ascii="Times New Roman" w:hAnsi="Times New Roman" w:eastAsia="MS Mincho"/>
                <w:b w:val="0"/>
                <w:i w:val="0"/>
                <w:sz w:val="20"/>
              </w:rPr>
              <w:t>1.43</w:t>
            </w:r>
          </w:p>
        </w:tc>
      </w:tr>
      <w:tr>
        <w:tc>
          <w:tcPr>
            <w:tcW w:type="dxa" w:w="1881"/>
          </w:tcPr>
          <w:p>
            <w:r/>
            <w:r>
              <w:rPr>
                <w:rFonts w:ascii="Times New Roman" w:hAnsi="Times New Roman" w:eastAsia="MS Mincho"/>
                <w:b w:val="0"/>
                <w:i w:val="0"/>
                <w:sz w:val="20"/>
              </w:rPr>
              <w:t>Hungary</w:t>
            </w:r>
          </w:p>
        </w:tc>
        <w:tc>
          <w:tcPr>
            <w:tcW w:type="dxa" w:w="1881"/>
          </w:tcPr>
          <w:p>
            <w:r/>
            <w:r>
              <w:rPr>
                <w:rFonts w:ascii="Times New Roman" w:hAnsi="Times New Roman" w:eastAsia="MS Mincho"/>
                <w:b w:val="0"/>
                <w:i w:val="0"/>
                <w:sz w:val="20"/>
              </w:rPr>
              <w:t>HUN</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-1.62</w:t>
            </w:r>
          </w:p>
        </w:tc>
        <w:tc>
          <w:tcPr>
            <w:tcW w:type="dxa" w:w="1881"/>
          </w:tcPr>
          <w:p>
            <w:r/>
            <w:r>
              <w:rPr>
                <w:rFonts w:ascii="Times New Roman" w:hAnsi="Times New Roman" w:eastAsia="MS Mincho"/>
                <w:b w:val="0"/>
                <w:i w:val="0"/>
                <w:sz w:val="20"/>
              </w:rPr>
              <w:t>1.62</w:t>
            </w:r>
          </w:p>
        </w:tc>
      </w:tr>
      <w:tr>
        <w:tc>
          <w:tcPr>
            <w:tcW w:type="dxa" w:w="1881"/>
          </w:tcPr>
          <w:p>
            <w:r/>
            <w:r>
              <w:rPr>
                <w:rFonts w:ascii="Times New Roman" w:hAnsi="Times New Roman" w:eastAsia="MS Mincho"/>
                <w:b w:val="0"/>
                <w:i w:val="0"/>
                <w:sz w:val="20"/>
              </w:rPr>
              <w:t>Sweden</w:t>
            </w:r>
          </w:p>
        </w:tc>
        <w:tc>
          <w:tcPr>
            <w:tcW w:type="dxa" w:w="1881"/>
          </w:tcPr>
          <w:p>
            <w:r/>
            <w:r>
              <w:rPr>
                <w:rFonts w:ascii="Times New Roman" w:hAnsi="Times New Roman" w:eastAsia="MS Mincho"/>
                <w:b w:val="0"/>
                <w:i w:val="0"/>
                <w:sz w:val="20"/>
              </w:rPr>
              <w:t>SWE</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-1.81</w:t>
            </w:r>
          </w:p>
        </w:tc>
        <w:tc>
          <w:tcPr>
            <w:tcW w:type="dxa" w:w="1881"/>
          </w:tcPr>
          <w:p>
            <w:r/>
            <w:r>
              <w:rPr>
                <w:rFonts w:ascii="Times New Roman" w:hAnsi="Times New Roman" w:eastAsia="MS Mincho"/>
                <w:b w:val="0"/>
                <w:i w:val="0"/>
                <w:sz w:val="20"/>
              </w:rPr>
              <w:t>1.81</w:t>
            </w:r>
          </w:p>
        </w:tc>
      </w:tr>
      <w:tr>
        <w:tc>
          <w:tcPr>
            <w:tcW w:type="dxa" w:w="1881"/>
          </w:tcPr>
          <w:p>
            <w:r/>
            <w:r>
              <w:rPr>
                <w:rFonts w:ascii="Times New Roman" w:hAnsi="Times New Roman" w:eastAsia="MS Mincho"/>
                <w:b w:val="0"/>
                <w:i w:val="0"/>
                <w:sz w:val="20"/>
              </w:rPr>
              <w:t>United Kingdom</w:t>
            </w:r>
          </w:p>
        </w:tc>
        <w:tc>
          <w:tcPr>
            <w:tcW w:type="dxa" w:w="1881"/>
          </w:tcPr>
          <w:p>
            <w:r/>
            <w:r>
              <w:rPr>
                <w:rFonts w:ascii="Times New Roman" w:hAnsi="Times New Roman" w:eastAsia="MS Mincho"/>
                <w:b w:val="0"/>
                <w:i w:val="0"/>
                <w:sz w:val="20"/>
              </w:rPr>
              <w:t>GBR</w:t>
            </w:r>
          </w:p>
        </w:tc>
        <w:tc>
          <w:tcPr>
            <w:tcW w:type="dxa" w:w="1881"/>
          </w:tcPr>
          <w:p>
            <w:r/>
            <w:r>
              <w:rPr>
                <w:rFonts w:ascii="Times New Roman" w:hAnsi="Times New Roman" w:eastAsia="MS Mincho"/>
                <w:b w:val="0"/>
                <w:i w:val="0"/>
                <w:sz w:val="20"/>
              </w:rPr>
              <w:t>-4.15</w:t>
            </w:r>
          </w:p>
        </w:tc>
        <w:tc>
          <w:tcPr>
            <w:tcW w:type="dxa" w:w="1881"/>
          </w:tcPr>
          <w:p>
            <w:r/>
            <w:r>
              <w:rPr>
                <w:rFonts w:ascii="Times New Roman" w:hAnsi="Times New Roman" w:eastAsia="MS Mincho"/>
                <w:b w:val="0"/>
                <w:i w:val="0"/>
                <w:sz w:val="20"/>
              </w:rPr>
              <w:t>-1.84</w:t>
            </w:r>
          </w:p>
        </w:tc>
        <w:tc>
          <w:tcPr>
            <w:tcW w:type="dxa" w:w="1881"/>
          </w:tcPr>
          <w:p>
            <w:r/>
            <w:r>
              <w:rPr>
                <w:rFonts w:ascii="Times New Roman" w:hAnsi="Times New Roman" w:eastAsia="MS Mincho"/>
                <w:b w:val="0"/>
                <w:i w:val="0"/>
                <w:sz w:val="20"/>
              </w:rPr>
              <w:t>1.84</w:t>
            </w:r>
          </w:p>
        </w:tc>
      </w:tr>
      <w:tr>
        <w:tc>
          <w:tcPr>
            <w:tcW w:type="dxa" w:w="1881"/>
          </w:tcPr>
          <w:p>
            <w:r/>
            <w:r>
              <w:rPr>
                <w:rFonts w:ascii="Times New Roman" w:hAnsi="Times New Roman" w:eastAsia="MS Mincho"/>
                <w:b w:val="0"/>
                <w:i w:val="0"/>
                <w:sz w:val="20"/>
              </w:rPr>
              <w:t>New Zealand</w:t>
            </w:r>
          </w:p>
        </w:tc>
        <w:tc>
          <w:tcPr>
            <w:tcW w:type="dxa" w:w="1881"/>
          </w:tcPr>
          <w:p>
            <w:r/>
            <w:r>
              <w:rPr>
                <w:rFonts w:ascii="Times New Roman" w:hAnsi="Times New Roman" w:eastAsia="MS Mincho"/>
                <w:b w:val="0"/>
                <w:i w:val="0"/>
                <w:sz w:val="20"/>
              </w:rPr>
              <w:t>NZL</w:t>
            </w:r>
          </w:p>
        </w:tc>
        <w:tc>
          <w:tcPr>
            <w:tcW w:type="dxa" w:w="1881"/>
          </w:tcPr>
          <w:p>
            <w:r/>
            <w:r>
              <w:rPr>
                <w:rFonts w:ascii="Times New Roman" w:hAnsi="Times New Roman" w:eastAsia="MS Mincho"/>
                <w:b w:val="0"/>
                <w:i w:val="0"/>
                <w:sz w:val="20"/>
              </w:rPr>
              <w:t>-4.07</w:t>
            </w:r>
          </w:p>
        </w:tc>
        <w:tc>
          <w:tcPr>
            <w:tcW w:type="dxa" w:w="1881"/>
          </w:tcPr>
          <w:p>
            <w:r/>
            <w:r>
              <w:rPr>
                <w:rFonts w:ascii="Times New Roman" w:hAnsi="Times New Roman" w:eastAsia="MS Mincho"/>
                <w:b w:val="0"/>
                <w:i w:val="0"/>
                <w:sz w:val="20"/>
              </w:rPr>
              <w:t>-1.7</w:t>
            </w:r>
          </w:p>
        </w:tc>
        <w:tc>
          <w:tcPr>
            <w:tcW w:type="dxa" w:w="1881"/>
          </w:tcPr>
          <w:p>
            <w:r/>
            <w:r>
              <w:rPr>
                <w:rFonts w:ascii="Times New Roman" w:hAnsi="Times New Roman" w:eastAsia="MS Mincho"/>
                <w:b w:val="0"/>
                <w:i w:val="0"/>
                <w:sz w:val="20"/>
              </w:rPr>
              <w:t>1.7</w:t>
            </w:r>
          </w:p>
        </w:tc>
      </w:tr>
      <w:tr>
        <w:tc>
          <w:tcPr>
            <w:tcW w:type="dxa" w:w="1881"/>
          </w:tcPr>
          <w:p>
            <w:r/>
            <w:r>
              <w:rPr>
                <w:rFonts w:ascii="Times New Roman" w:hAnsi="Times New Roman" w:eastAsia="MS Mincho"/>
                <w:b w:val="0"/>
                <w:i w:val="0"/>
                <w:sz w:val="20"/>
              </w:rPr>
              <w:t>Latvia</w:t>
            </w:r>
          </w:p>
        </w:tc>
        <w:tc>
          <w:tcPr>
            <w:tcW w:type="dxa" w:w="1881"/>
          </w:tcPr>
          <w:p>
            <w:r/>
            <w:r>
              <w:rPr>
                <w:rFonts w:ascii="Times New Roman" w:hAnsi="Times New Roman" w:eastAsia="MS Mincho"/>
                <w:b w:val="0"/>
                <w:i w:val="0"/>
                <w:sz w:val="20"/>
              </w:rPr>
              <w:t>LVA</w:t>
            </w:r>
          </w:p>
        </w:tc>
        <w:tc>
          <w:tcPr>
            <w:tcW w:type="dxa" w:w="1881"/>
          </w:tcPr>
          <w:p>
            <w:r/>
            <w:r>
              <w:rPr>
                <w:rFonts w:ascii="Times New Roman" w:hAnsi="Times New Roman" w:eastAsia="MS Mincho"/>
                <w:b w:val="0"/>
                <w:i w:val="0"/>
                <w:sz w:val="20"/>
              </w:rPr>
              <w:t>-3.97</w:t>
            </w:r>
          </w:p>
        </w:tc>
        <w:tc>
          <w:tcPr>
            <w:tcW w:type="dxa" w:w="1881"/>
          </w:tcPr>
          <w:p>
            <w:r/>
            <w:r>
              <w:rPr>
                <w:rFonts w:ascii="Times New Roman" w:hAnsi="Times New Roman" w:eastAsia="MS Mincho"/>
                <w:b w:val="0"/>
                <w:i w:val="0"/>
                <w:sz w:val="20"/>
              </w:rPr>
              <w:t>-1.93</w:t>
            </w:r>
          </w:p>
        </w:tc>
        <w:tc>
          <w:tcPr>
            <w:tcW w:type="dxa" w:w="1881"/>
          </w:tcPr>
          <w:p>
            <w:r/>
            <w:r>
              <w:rPr>
                <w:rFonts w:ascii="Times New Roman" w:hAnsi="Times New Roman" w:eastAsia="MS Mincho"/>
                <w:b w:val="0"/>
                <w:i w:val="0"/>
                <w:sz w:val="20"/>
              </w:rPr>
              <w:t>1.93</w:t>
            </w:r>
          </w:p>
        </w:tc>
      </w:tr>
      <w:tr>
        <w:tc>
          <w:tcPr>
            <w:tcW w:type="dxa" w:w="1881"/>
          </w:tcPr>
          <w:p>
            <w:r/>
            <w:r>
              <w:rPr>
                <w:rFonts w:ascii="Times New Roman" w:hAnsi="Times New Roman" w:eastAsia="MS Mincho"/>
                <w:b w:val="0"/>
                <w:i w:val="0"/>
                <w:sz w:val="20"/>
              </w:rPr>
              <w:t>Spain</w:t>
            </w:r>
          </w:p>
        </w:tc>
        <w:tc>
          <w:tcPr>
            <w:tcW w:type="dxa" w:w="1881"/>
          </w:tcPr>
          <w:p>
            <w:r/>
            <w:r>
              <w:rPr>
                <w:rFonts w:ascii="Times New Roman" w:hAnsi="Times New Roman" w:eastAsia="MS Mincho"/>
                <w:b w:val="0"/>
                <w:i w:val="0"/>
                <w:sz w:val="20"/>
              </w:rPr>
              <w:t>ESP</w:t>
            </w:r>
          </w:p>
        </w:tc>
        <w:tc>
          <w:tcPr>
            <w:tcW w:type="dxa" w:w="1881"/>
          </w:tcPr>
          <w:p>
            <w:r/>
            <w:r>
              <w:rPr>
                <w:rFonts w:ascii="Times New Roman" w:hAnsi="Times New Roman" w:eastAsia="MS Mincho"/>
                <w:b w:val="0"/>
                <w:i w:val="0"/>
                <w:sz w:val="20"/>
              </w:rPr>
              <w:t>-3.91</w:t>
            </w:r>
          </w:p>
        </w:tc>
        <w:tc>
          <w:tcPr>
            <w:tcW w:type="dxa" w:w="1881"/>
          </w:tcPr>
          <w:p>
            <w:r/>
            <w:r>
              <w:rPr>
                <w:rFonts w:ascii="Times New Roman" w:hAnsi="Times New Roman" w:eastAsia="MS Mincho"/>
                <w:b w:val="0"/>
                <w:i w:val="0"/>
                <w:sz w:val="20"/>
              </w:rPr>
              <w:t>-1.53</w:t>
            </w:r>
          </w:p>
        </w:tc>
        <w:tc>
          <w:tcPr>
            <w:tcW w:type="dxa" w:w="1881"/>
          </w:tcPr>
          <w:p>
            <w:r/>
            <w:r>
              <w:rPr>
                <w:rFonts w:ascii="Times New Roman" w:hAnsi="Times New Roman" w:eastAsia="MS Mincho"/>
                <w:b w:val="0"/>
                <w:i w:val="0"/>
                <w:sz w:val="20"/>
              </w:rPr>
              <w:t>1.53</w:t>
            </w:r>
          </w:p>
        </w:tc>
      </w:tr>
      <w:tr>
        <w:tc>
          <w:tcPr>
            <w:tcW w:type="dxa" w:w="1881"/>
          </w:tcPr>
          <w:p>
            <w:r/>
            <w:r>
              <w:rPr>
                <w:rFonts w:ascii="Times New Roman" w:hAnsi="Times New Roman" w:eastAsia="MS Mincho"/>
                <w:b w:val="0"/>
                <w:i w:val="0"/>
                <w:sz w:val="20"/>
              </w:rPr>
              <w:t>Austria</w:t>
            </w:r>
          </w:p>
        </w:tc>
        <w:tc>
          <w:tcPr>
            <w:tcW w:type="dxa" w:w="1881"/>
          </w:tcPr>
          <w:p>
            <w:r/>
            <w:r>
              <w:rPr>
                <w:rFonts w:ascii="Times New Roman" w:hAnsi="Times New Roman" w:eastAsia="MS Mincho"/>
                <w:b w:val="0"/>
                <w:i w:val="0"/>
                <w:sz w:val="20"/>
              </w:rPr>
              <w:t>AUT</w:t>
            </w:r>
          </w:p>
        </w:tc>
        <w:tc>
          <w:tcPr>
            <w:tcW w:type="dxa" w:w="1881"/>
          </w:tcPr>
          <w:p>
            <w:r/>
            <w:r>
              <w:rPr>
                <w:rFonts w:ascii="Times New Roman" w:hAnsi="Times New Roman" w:eastAsia="MS Mincho"/>
                <w:b w:val="0"/>
                <w:i w:val="0"/>
                <w:sz w:val="20"/>
              </w:rPr>
              <w:t>-3.86</w:t>
            </w:r>
          </w:p>
        </w:tc>
        <w:tc>
          <w:tcPr>
            <w:tcW w:type="dxa" w:w="1881"/>
          </w:tcPr>
          <w:p>
            <w:r/>
            <w:r>
              <w:rPr>
                <w:rFonts w:ascii="Times New Roman" w:hAnsi="Times New Roman" w:eastAsia="MS Mincho"/>
                <w:b w:val="0"/>
                <w:i w:val="0"/>
                <w:sz w:val="20"/>
              </w:rPr>
              <w:t>-1.51</w:t>
            </w:r>
          </w:p>
        </w:tc>
        <w:tc>
          <w:tcPr>
            <w:tcW w:type="dxa" w:w="1881"/>
          </w:tcPr>
          <w:p>
            <w:r/>
            <w:r>
              <w:rPr>
                <w:rFonts w:ascii="Times New Roman" w:hAnsi="Times New Roman" w:eastAsia="MS Mincho"/>
                <w:b w:val="0"/>
                <w:i w:val="0"/>
                <w:sz w:val="20"/>
              </w:rPr>
              <w:t>1.51</w:t>
            </w:r>
          </w:p>
        </w:tc>
      </w:tr>
      <w:tr>
        <w:tc>
          <w:tcPr>
            <w:tcW w:type="dxa" w:w="1881"/>
          </w:tcPr>
          <w:p>
            <w:r/>
            <w:r>
              <w:rPr>
                <w:rFonts w:ascii="Times New Roman" w:hAnsi="Times New Roman" w:eastAsia="MS Mincho"/>
                <w:b w:val="0"/>
                <w:i w:val="0"/>
                <w:sz w:val="20"/>
              </w:rPr>
              <w:t>Norway</w:t>
            </w:r>
          </w:p>
        </w:tc>
        <w:tc>
          <w:tcPr>
            <w:tcW w:type="dxa" w:w="1881"/>
          </w:tcPr>
          <w:p>
            <w:r/>
            <w:r>
              <w:rPr>
                <w:rFonts w:ascii="Times New Roman" w:hAnsi="Times New Roman" w:eastAsia="MS Mincho"/>
                <w:b w:val="0"/>
                <w:i w:val="0"/>
                <w:sz w:val="20"/>
              </w:rPr>
              <w:t>NOR</w:t>
            </w:r>
          </w:p>
        </w:tc>
        <w:tc>
          <w:tcPr>
            <w:tcW w:type="dxa" w:w="1881"/>
          </w:tcPr>
          <w:p>
            <w:r/>
            <w:r>
              <w:rPr>
                <w:rFonts w:ascii="Times New Roman" w:hAnsi="Times New Roman" w:eastAsia="MS Mincho"/>
                <w:b w:val="0"/>
                <w:i w:val="0"/>
                <w:sz w:val="20"/>
              </w:rPr>
              <w:t>-3.83</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r>
        <w:tc>
          <w:tcPr>
            <w:tcW w:type="dxa" w:w="1881"/>
          </w:tcPr>
          <w:p>
            <w:r/>
            <w:r>
              <w:rPr>
                <w:rFonts w:ascii="Times New Roman" w:hAnsi="Times New Roman" w:eastAsia="MS Mincho"/>
                <w:b w:val="0"/>
                <w:i w:val="0"/>
                <w:sz w:val="20"/>
              </w:rPr>
              <w:t>United States</w:t>
            </w:r>
          </w:p>
        </w:tc>
        <w:tc>
          <w:tcPr>
            <w:tcW w:type="dxa" w:w="1881"/>
          </w:tcPr>
          <w:p>
            <w:r/>
            <w:r>
              <w:rPr>
                <w:rFonts w:ascii="Times New Roman" w:hAnsi="Times New Roman" w:eastAsia="MS Mincho"/>
                <w:b w:val="0"/>
                <w:i w:val="0"/>
                <w:sz w:val="20"/>
              </w:rPr>
              <w:t>USA</w:t>
            </w:r>
          </w:p>
        </w:tc>
        <w:tc>
          <w:tcPr>
            <w:tcW w:type="dxa" w:w="1881"/>
          </w:tcPr>
          <w:p>
            <w:r/>
            <w:r>
              <w:rPr>
                <w:rFonts w:ascii="Times New Roman" w:hAnsi="Times New Roman" w:eastAsia="MS Mincho"/>
                <w:b w:val="0"/>
                <w:i w:val="0"/>
                <w:sz w:val="20"/>
              </w:rPr>
              <w:t>-3.7</w:t>
            </w:r>
          </w:p>
        </w:tc>
        <w:tc>
          <w:tcPr>
            <w:tcW w:type="dxa" w:w="1881"/>
          </w:tcPr>
          <w:p>
            <w:r/>
            <w:r>
              <w:rPr>
                <w:rFonts w:ascii="Times New Roman" w:hAnsi="Times New Roman" w:eastAsia="MS Mincho"/>
                <w:b w:val="0"/>
                <w:i w:val="0"/>
                <w:sz w:val="20"/>
              </w:rPr>
              <w:t>-1.44</w:t>
            </w:r>
          </w:p>
        </w:tc>
        <w:tc>
          <w:tcPr>
            <w:tcW w:type="dxa" w:w="1881"/>
          </w:tcPr>
          <w:p>
            <w:r/>
            <w:r>
              <w:rPr>
                <w:rFonts w:ascii="Times New Roman" w:hAnsi="Times New Roman" w:eastAsia="MS Mincho"/>
                <w:b w:val="0"/>
                <w:i w:val="0"/>
                <w:sz w:val="20"/>
              </w:rPr>
              <w:t>1.44</w:t>
            </w:r>
          </w:p>
        </w:tc>
      </w:tr>
      <w:tr>
        <w:tc>
          <w:tcPr>
            <w:tcW w:type="dxa" w:w="1881"/>
          </w:tcPr>
          <w:p>
            <w:r/>
            <w:r>
              <w:rPr>
                <w:rFonts w:ascii="Times New Roman" w:hAnsi="Times New Roman" w:eastAsia="MS Mincho"/>
                <w:b w:val="0"/>
                <w:i w:val="0"/>
                <w:sz w:val="20"/>
              </w:rPr>
              <w:t>Denmark</w:t>
            </w:r>
          </w:p>
        </w:tc>
        <w:tc>
          <w:tcPr>
            <w:tcW w:type="dxa" w:w="1881"/>
          </w:tcPr>
          <w:p>
            <w:r/>
            <w:r>
              <w:rPr>
                <w:rFonts w:ascii="Times New Roman" w:hAnsi="Times New Roman" w:eastAsia="MS Mincho"/>
                <w:b w:val="0"/>
                <w:i w:val="0"/>
                <w:sz w:val="20"/>
              </w:rPr>
              <w:t>DNK</w:t>
            </w:r>
          </w:p>
        </w:tc>
        <w:tc>
          <w:tcPr>
            <w:tcW w:type="dxa" w:w="1881"/>
          </w:tcPr>
          <w:p>
            <w:r/>
            <w:r>
              <w:rPr>
                <w:rFonts w:ascii="Times New Roman" w:hAnsi="Times New Roman" w:eastAsia="MS Mincho"/>
                <w:b w:val="0"/>
                <w:i w:val="0"/>
                <w:sz w:val="20"/>
              </w:rPr>
              <w:t>-3.56</w:t>
            </w:r>
          </w:p>
        </w:tc>
        <w:tc>
          <w:tcPr>
            <w:tcW w:type="dxa" w:w="1881"/>
          </w:tcPr>
          <w:p>
            <w:r/>
            <w:r>
              <w:rPr>
                <w:rFonts w:ascii="Times New Roman" w:hAnsi="Times New Roman" w:eastAsia="MS Mincho"/>
                <w:b w:val="0"/>
                <w:i w:val="0"/>
                <w:sz w:val="20"/>
              </w:rPr>
              <w:t>-1.31</w:t>
            </w:r>
          </w:p>
        </w:tc>
        <w:tc>
          <w:tcPr>
            <w:tcW w:type="dxa" w:w="1881"/>
          </w:tcPr>
          <w:p>
            <w:r/>
            <w:r>
              <w:rPr>
                <w:rFonts w:ascii="Times New Roman" w:hAnsi="Times New Roman" w:eastAsia="MS Mincho"/>
                <w:b w:val="0"/>
                <w:i w:val="0"/>
                <w:sz w:val="20"/>
              </w:rPr>
              <w:t>1.31</w:t>
            </w:r>
          </w:p>
        </w:tc>
      </w:tr>
      <w:tr>
        <w:tc>
          <w:tcPr>
            <w:tcW w:type="dxa" w:w="1881"/>
          </w:tcPr>
          <w:p>
            <w:r/>
            <w:r>
              <w:rPr>
                <w:rFonts w:ascii="Times New Roman" w:hAnsi="Times New Roman" w:eastAsia="MS Mincho"/>
                <w:b w:val="0"/>
                <w:i w:val="0"/>
                <w:sz w:val="20"/>
              </w:rPr>
              <w:t>Finland</w:t>
            </w:r>
          </w:p>
        </w:tc>
        <w:tc>
          <w:tcPr>
            <w:tcW w:type="dxa" w:w="1881"/>
          </w:tcPr>
          <w:p>
            <w:r/>
            <w:r>
              <w:rPr>
                <w:rFonts w:ascii="Times New Roman" w:hAnsi="Times New Roman" w:eastAsia="MS Mincho"/>
                <w:b w:val="0"/>
                <w:i w:val="0"/>
                <w:sz w:val="20"/>
              </w:rPr>
              <w:t>FIN</w:t>
            </w:r>
          </w:p>
        </w:tc>
        <w:tc>
          <w:tcPr>
            <w:tcW w:type="dxa" w:w="1881"/>
          </w:tcPr>
          <w:p>
            <w:r/>
            <w:r>
              <w:rPr>
                <w:rFonts w:ascii="Times New Roman" w:hAnsi="Times New Roman" w:eastAsia="MS Mincho"/>
                <w:b w:val="0"/>
                <w:i w:val="0"/>
                <w:sz w:val="20"/>
              </w:rPr>
              <w:t>-3.36</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1.21</w:t>
            </w:r>
          </w:p>
        </w:tc>
      </w:tr>
      <w:tr>
        <w:tc>
          <w:tcPr>
            <w:tcW w:type="dxa" w:w="1881"/>
          </w:tcPr>
          <w:p>
            <w:r/>
            <w:r>
              <w:rPr>
                <w:rFonts w:ascii="Times New Roman" w:hAnsi="Times New Roman" w:eastAsia="MS Mincho"/>
                <w:b w:val="0"/>
                <w:i w:val="0"/>
                <w:sz w:val="20"/>
              </w:rPr>
              <w:t>Iceland</w:t>
            </w:r>
          </w:p>
        </w:tc>
        <w:tc>
          <w:tcPr>
            <w:tcW w:type="dxa" w:w="1881"/>
          </w:tcPr>
          <w:p>
            <w:r/>
            <w:r>
              <w:rPr>
                <w:rFonts w:ascii="Times New Roman" w:hAnsi="Times New Roman" w:eastAsia="MS Mincho"/>
                <w:b w:val="0"/>
                <w:i w:val="0"/>
                <w:sz w:val="20"/>
              </w:rPr>
              <w:t>ISL</w:t>
            </w:r>
          </w:p>
        </w:tc>
        <w:tc>
          <w:tcPr>
            <w:tcW w:type="dxa" w:w="1881"/>
          </w:tcPr>
          <w:p>
            <w:r/>
            <w:r>
              <w:rPr>
                <w:rFonts w:ascii="Times New Roman" w:hAnsi="Times New Roman" w:eastAsia="MS Mincho"/>
                <w:b w:val="0"/>
                <w:i w:val="0"/>
                <w:sz w:val="20"/>
              </w:rPr>
              <w:t>-2.91</w:t>
            </w:r>
          </w:p>
        </w:tc>
        <w:tc>
          <w:tcPr>
            <w:tcW w:type="dxa" w:w="1881"/>
          </w:tcPr>
          <w:p>
            <w:r/>
            <w:r>
              <w:rPr>
                <w:rFonts w:ascii="Times New Roman" w:hAnsi="Times New Roman" w:eastAsia="MS Mincho"/>
                <w:b w:val="0"/>
                <w:i w:val="0"/>
                <w:sz w:val="20"/>
              </w:rPr>
              <w:t>-1.11</w:t>
            </w:r>
          </w:p>
        </w:tc>
        <w:tc>
          <w:tcPr>
            <w:tcW w:type="dxa" w:w="1881"/>
          </w:tcPr>
          <w:p>
            <w:r/>
            <w:r>
              <w:rPr>
                <w:rFonts w:ascii="Times New Roman" w:hAnsi="Times New Roman" w:eastAsia="MS Mincho"/>
                <w:b w:val="0"/>
                <w:i w:val="0"/>
                <w:sz w:val="20"/>
              </w:rPr>
              <w:t>1.11</w:t>
            </w:r>
          </w:p>
        </w:tc>
      </w:tr>
      <w:tr>
        <w:tc>
          <w:tcPr>
            <w:tcW w:type="dxa" w:w="1881"/>
          </w:tcPr>
          <w:p>
            <w:r/>
            <w:r>
              <w:rPr>
                <w:rFonts w:ascii="Times New Roman" w:hAnsi="Times New Roman" w:eastAsia="MS Mincho"/>
                <w:b w:val="0"/>
                <w:i w:val="0"/>
                <w:sz w:val="20"/>
              </w:rPr>
              <w:t>Portugal</w:t>
            </w:r>
          </w:p>
        </w:tc>
        <w:tc>
          <w:tcPr>
            <w:tcW w:type="dxa" w:w="1881"/>
          </w:tcPr>
          <w:p>
            <w:r/>
            <w:r>
              <w:rPr>
                <w:rFonts w:ascii="Times New Roman" w:hAnsi="Times New Roman" w:eastAsia="MS Mincho"/>
                <w:b w:val="0"/>
                <w:i w:val="0"/>
                <w:sz w:val="20"/>
              </w:rPr>
              <w:t>PRT</w:t>
            </w:r>
          </w:p>
        </w:tc>
        <w:tc>
          <w:tcPr>
            <w:tcW w:type="dxa" w:w="1881"/>
          </w:tcPr>
          <w:p>
            <w:r/>
            <w:r>
              <w:rPr>
                <w:rFonts w:ascii="Times New Roman" w:hAnsi="Times New Roman" w:eastAsia="MS Mincho"/>
                <w:b w:val="0"/>
                <w:i w:val="0"/>
                <w:sz w:val="20"/>
              </w:rPr>
              <w:t>-2.56</w:t>
            </w:r>
          </w:p>
        </w:tc>
        <w:tc>
          <w:tcPr>
            <w:tcW w:type="dxa" w:w="1881"/>
          </w:tcPr>
          <w:p>
            <w:r/>
            <w:r>
              <w:rPr>
                <w:rFonts w:ascii="Times New Roman" w:hAnsi="Times New Roman" w:eastAsia="MS Mincho"/>
                <w:b w:val="0"/>
                <w:i w:val="0"/>
                <w:sz w:val="20"/>
              </w:rPr>
              <w:t>-0.95</w:t>
            </w:r>
          </w:p>
        </w:tc>
        <w:tc>
          <w:tcPr>
            <w:tcW w:type="dxa" w:w="1881"/>
          </w:tcPr>
          <w:p>
            <w:r/>
            <w:r>
              <w:rPr>
                <w:rFonts w:ascii="Times New Roman" w:hAnsi="Times New Roman" w:eastAsia="MS Mincho"/>
                <w:b w:val="0"/>
                <w:i w:val="0"/>
                <w:sz w:val="20"/>
              </w:rPr>
              <w:t>0.95</w:t>
            </w:r>
          </w:p>
        </w:tc>
      </w:tr>
      <w:tr>
        <w:tc>
          <w:tcPr>
            <w:tcW w:type="dxa" w:w="1881"/>
          </w:tcPr>
          <w:p>
            <w:r/>
            <w:r>
              <w:rPr>
                <w:rFonts w:ascii="Times New Roman" w:hAnsi="Times New Roman" w:eastAsia="MS Mincho"/>
                <w:b w:val="0"/>
                <w:i w:val="0"/>
                <w:sz w:val="20"/>
              </w:rPr>
              <w:t>Italy</w:t>
            </w:r>
          </w:p>
        </w:tc>
        <w:tc>
          <w:tcPr>
            <w:tcW w:type="dxa" w:w="1881"/>
          </w:tcPr>
          <w:p>
            <w:r/>
            <w:r>
              <w:rPr>
                <w:rFonts w:ascii="Times New Roman" w:hAnsi="Times New Roman" w:eastAsia="MS Mincho"/>
                <w:b w:val="0"/>
                <w:i w:val="0"/>
                <w:sz w:val="20"/>
              </w:rPr>
              <w:t>ITA</w:t>
            </w:r>
          </w:p>
        </w:tc>
        <w:tc>
          <w:tcPr>
            <w:tcW w:type="dxa" w:w="1881"/>
          </w:tcPr>
          <w:p>
            <w:r/>
            <w:r>
              <w:rPr>
                <w:rFonts w:ascii="Times New Roman" w:hAnsi="Times New Roman" w:eastAsia="MS Mincho"/>
                <w:b w:val="0"/>
                <w:i w:val="0"/>
                <w:sz w:val="20"/>
              </w:rPr>
              <w:t>-2.06</w:t>
            </w:r>
          </w:p>
        </w:tc>
        <w:tc>
          <w:tcPr>
            <w:tcW w:type="dxa" w:w="1881"/>
          </w:tcPr>
          <w:p>
            <w:r/>
            <w:r>
              <w:rPr>
                <w:rFonts w:ascii="Times New Roman" w:hAnsi="Times New Roman" w:eastAsia="MS Mincho"/>
                <w:b w:val="0"/>
                <w:i w:val="0"/>
                <w:sz w:val="20"/>
              </w:rPr>
              <w:t>-0.91</w:t>
            </w:r>
          </w:p>
        </w:tc>
        <w:tc>
          <w:tcPr>
            <w:tcW w:type="dxa" w:w="1881"/>
          </w:tcPr>
          <w:p>
            <w:r/>
            <w:r>
              <w:rPr>
                <w:rFonts w:ascii="Times New Roman" w:hAnsi="Times New Roman" w:eastAsia="MS Mincho"/>
                <w:b w:val="0"/>
                <w:i w:val="0"/>
                <w:sz w:val="20"/>
              </w:rPr>
              <w:t>0.91</w:t>
            </w:r>
          </w:p>
        </w:tc>
      </w:tr>
      <w:tr>
        <w:tc>
          <w:tcPr>
            <w:tcW w:type="dxa" w:w="1881"/>
          </w:tcPr>
          <w:p>
            <w:r/>
            <w:r>
              <w:rPr>
                <w:rFonts w:ascii="Times New Roman" w:hAnsi="Times New Roman" w:eastAsia="MS Mincho"/>
                <w:b w:val="0"/>
                <w:i w:val="0"/>
                <w:sz w:val="20"/>
              </w:rPr>
              <w:t>Germany</w:t>
            </w:r>
          </w:p>
        </w:tc>
        <w:tc>
          <w:tcPr>
            <w:tcW w:type="dxa" w:w="1881"/>
          </w:tcPr>
          <w:p>
            <w:r/>
            <w:r>
              <w:rPr>
                <w:rFonts w:ascii="Times New Roman" w:hAnsi="Times New Roman" w:eastAsia="MS Mincho"/>
                <w:b w:val="0"/>
                <w:i w:val="0"/>
                <w:sz w:val="20"/>
              </w:rPr>
              <w:t>DEU</w:t>
            </w:r>
          </w:p>
        </w:tc>
        <w:tc>
          <w:tcPr>
            <w:tcW w:type="dxa" w:w="1881"/>
          </w:tcPr>
          <w:p>
            <w:r/>
            <w:r>
              <w:rPr>
                <w:rFonts w:ascii="Times New Roman" w:hAnsi="Times New Roman" w:eastAsia="MS Mincho"/>
                <w:b w:val="0"/>
                <w:i w:val="0"/>
                <w:sz w:val="20"/>
              </w:rPr>
              <w:t>-1.88</w:t>
            </w:r>
          </w:p>
        </w:tc>
        <w:tc>
          <w:tcPr>
            <w:tcW w:type="dxa" w:w="1881"/>
          </w:tcPr>
          <w:p>
            <w:r/>
            <w:r>
              <w:rPr>
                <w:rFonts w:ascii="Times New Roman" w:hAnsi="Times New Roman" w:eastAsia="MS Mincho"/>
                <w:b w:val="0"/>
                <w:i w:val="0"/>
                <w:sz w:val="20"/>
              </w:rPr>
              <w:t>-0.66</w:t>
            </w:r>
          </w:p>
        </w:tc>
        <w:tc>
          <w:tcPr>
            <w:tcW w:type="dxa" w:w="1881"/>
          </w:tcPr>
          <w:p>
            <w:r/>
            <w:r>
              <w:rPr>
                <w:rFonts w:ascii="Times New Roman" w:hAnsi="Times New Roman" w:eastAsia="MS Mincho"/>
                <w:b w:val="0"/>
                <w:i w:val="0"/>
                <w:sz w:val="20"/>
              </w:rPr>
              <w:t>0.66</w:t>
            </w:r>
          </w:p>
        </w:tc>
      </w:tr>
      <w:tr>
        <w:tc>
          <w:tcPr>
            <w:tcW w:type="dxa" w:w="1881"/>
          </w:tcPr>
          <w:p>
            <w:r/>
            <w:r>
              <w:rPr>
                <w:rFonts w:ascii="Times New Roman" w:hAnsi="Times New Roman" w:eastAsia="MS Mincho"/>
                <w:b w:val="0"/>
                <w:i w:val="0"/>
                <w:sz w:val="20"/>
              </w:rPr>
              <w:t>Japan</w:t>
            </w:r>
          </w:p>
        </w:tc>
        <w:tc>
          <w:tcPr>
            <w:tcW w:type="dxa" w:w="1881"/>
          </w:tcPr>
          <w:p>
            <w:r/>
            <w:r>
              <w:rPr>
                <w:rFonts w:ascii="Times New Roman" w:hAnsi="Times New Roman" w:eastAsia="MS Mincho"/>
                <w:b w:val="0"/>
                <w:i w:val="0"/>
                <w:sz w:val="20"/>
              </w:rPr>
              <w:t>JPN</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-0.49</w:t>
            </w:r>
          </w:p>
        </w:tc>
        <w:tc>
          <w:tcPr>
            <w:tcW w:type="dxa" w:w="1881"/>
          </w:tcPr>
          <w:p>
            <w:r/>
            <w:r>
              <w:rPr>
                <w:rFonts w:ascii="Times New Roman" w:hAnsi="Times New Roman" w:eastAsia="MS Mincho"/>
                <w:b w:val="0"/>
                <w:i w:val="0"/>
                <w:sz w:val="20"/>
              </w:rPr>
              <w:t>0.49</w:t>
            </w:r>
          </w:p>
        </w:tc>
      </w:tr>
      <w:tr>
        <w:tc>
          <w:tcPr>
            <w:tcW w:type="dxa" w:w="1881"/>
          </w:tcPr>
          <w:p>
            <w:r/>
            <w:r>
              <w:rPr>
                <w:rFonts w:ascii="Times New Roman" w:hAnsi="Times New Roman" w:eastAsia="MS Mincho"/>
                <w:b w:val="0"/>
                <w:i w:val="0"/>
                <w:sz w:val="20"/>
              </w:rPr>
              <w:t>Greece</w:t>
            </w:r>
          </w:p>
        </w:tc>
        <w:tc>
          <w:tcPr>
            <w:tcW w:type="dxa" w:w="1881"/>
          </w:tcPr>
          <w:p>
            <w:r/>
            <w:r>
              <w:rPr>
                <w:rFonts w:ascii="Times New Roman" w:hAnsi="Times New Roman" w:eastAsia="MS Mincho"/>
                <w:b w:val="0"/>
                <w:i w:val="0"/>
                <w:sz w:val="20"/>
              </w:rPr>
              <w:t>GRC</w:t>
            </w:r>
          </w:p>
        </w:tc>
        <w:tc>
          <w:tcPr>
            <w:tcW w:type="dxa" w:w="1881"/>
          </w:tcPr>
          <w:p>
            <w:r/>
            <w:r>
              <w:rPr>
                <w:rFonts w:ascii="Times New Roman" w:hAnsi="Times New Roman" w:eastAsia="MS Mincho"/>
                <w:b w:val="0"/>
                <w:i w:val="0"/>
                <w:sz w:val="20"/>
              </w:rPr>
              <w:t>-0.58</w:t>
            </w:r>
          </w:p>
        </w:tc>
        <w:tc>
          <w:tcPr>
            <w:tcW w:type="dxa" w:w="1881"/>
          </w:tcPr>
          <w:p>
            <w:r/>
            <w:r>
              <w:rPr>
                <w:rFonts w:ascii="Times New Roman" w:hAnsi="Times New Roman" w:eastAsia="MS Mincho"/>
                <w:b w:val="0"/>
                <w:i w:val="0"/>
                <w:sz w:val="20"/>
              </w:rPr>
              <w:t>-0.3</w:t>
            </w:r>
          </w:p>
        </w:tc>
        <w:tc>
          <w:tcPr>
            <w:tcW w:type="dxa" w:w="1881"/>
          </w:tcPr>
          <w:p>
            <w:r/>
            <w:r>
              <w:rPr>
                <w:rFonts w:ascii="Times New Roman" w:hAnsi="Times New Roman" w:eastAsia="MS Mincho"/>
                <w:b w:val="0"/>
                <w:i w:val="0"/>
                <w:sz w:val="20"/>
              </w:rPr>
              <w:t>0.3</w:t>
            </w:r>
          </w:p>
        </w:tc>
      </w:tr>
      <w:tr>
        <w:tc>
          <w:tcPr>
            <w:tcW w:type="dxa" w:w="1881"/>
          </w:tcPr>
          <w:p>
            <w:r/>
            <w:r>
              <w:rPr>
                <w:rFonts w:ascii="Times New Roman" w:hAnsi="Times New Roman" w:eastAsia="MS Mincho"/>
                <w:b w:val="0"/>
                <w:i w:val="0"/>
                <w:sz w:val="20"/>
              </w:rPr>
              <w:t>Median</w:t>
            </w:r>
          </w:p>
        </w:tc>
        <w:tc>
          <w:tcPr>
            <w:tcW w:type="dxa" w:w="1881"/>
          </w:tcPr>
          <w:p>
            <w:r/>
            <w:r>
              <w:rPr>
                <w:rFonts w:ascii="Times New Roman" w:hAnsi="Times New Roman" w:eastAsia="MS Mincho"/>
                <w:b w:val="0"/>
                <w:i w:val="0"/>
                <w:sz w:val="20"/>
              </w:rPr>
              <w:t>nan</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bl>
    <w:p>
      <w:pPr>
        <w:spacing w:after="120" w:line="360" w:lineRule="auto"/>
        <w:ind w:firstLine="480"/>
      </w:pPr>
      <w:r>
        <w:rPr>
          <w:rFonts w:ascii="Times New Roman" w:hAnsi="Times New Roman" w:eastAsia="MS Mincho"/>
          <w:b/>
          <w:i w:val="0"/>
          <w:sz w:val="24"/>
        </w:rPr>
        <w:t>Table 6.</w:t>
      </w:r>
      <w:r>
        <w:rPr>
          <w:rFonts w:ascii="Times New Roman" w:hAnsi="Times New Roman" w:eastAsia="MS Mincho"/>
          <w:b w:val="0"/>
          <w:i w:val="0"/>
          <w:sz w:val="24"/>
        </w:rPr>
        <w:t xml:space="preserve"> Tempo-artifact share of TFP-growth variance by country: the percentage reduction in Var(</w:t>
      </w:r>
      <w:r>
        <w:rPr>
          <w:rFonts w:ascii="Times New Roman" w:hAnsi="Times New Roman" w:eastAsia="MS Mincho"/>
          <w:b w:val="0"/>
          <w:i/>
          <w:sz w:val="24"/>
        </w:rPr>
        <w:t>Δ</w:t>
      </w:r>
      <w:r>
        <w:rPr>
          <w:rFonts w:ascii="Times New Roman" w:hAnsi="Times New Roman" w:eastAsia="MS Mincho"/>
          <w:b w:val="0"/>
          <w:i w:val="0"/>
          <w:sz w:val="24"/>
        </w:rPr>
        <w:t xml:space="preserve"> log TFP) when moving from M0 to M2 (tempo drift only) and from M0 to M4 (joint tempo + intangible).</w:t>
      </w:r>
    </w:p>
    <w:p>
      <w:pPr>
        <w:spacing w:before="360" w:after="120"/>
      </w:pPr>
      <w:r>
        <w:rPr>
          <w:rFonts w:ascii="Times New Roman" w:hAnsi="Times New Roman" w:eastAsia="MS Mincho"/>
          <w:b/>
          <w:i w:val="0"/>
          <w:sz w:val="22"/>
        </w:rPr>
        <w:t>Table 6.</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360" w:lineRule="auto"/>
      </w:pPr>
      <w:r>
        <w:rPr>
          <w:rFonts w:ascii="Times New Roman" w:hAnsi="Times New Roman" w:eastAsia="MS Mincho"/>
          <w:b/>
          <w:i w:val="0"/>
          <w:sz w:val="28"/>
        </w:rPr>
        <w:t>References</w:t>
      </w:r>
    </w:p>
    <w:p>
      <w:pPr>
        <w:spacing w:after="120" w:line="360" w:lineRule="auto"/>
        <w:ind w:firstLine="480"/>
      </w:pPr>
      <w:r>
        <w:rPr>
          <w:rFonts w:ascii="Times New Roman" w:hAnsi="Times New Roman" w:eastAsia="MS Mincho"/>
          <w:b w:val="0"/>
          <w:i w:val="0"/>
          <w:sz w:val="24"/>
        </w:rPr>
        <w:t xml:space="preserve">Altug, S. (1989). Time-to-build and aggregate fluctuations: Some new evidence. </w:t>
      </w:r>
      <w:r>
        <w:rPr>
          <w:rFonts w:ascii="Times New Roman" w:hAnsi="Times New Roman" w:eastAsia="MS Mincho"/>
          <w:b w:val="0"/>
          <w:i/>
          <w:sz w:val="24"/>
        </w:rPr>
        <w:t>International Economic Review</w:t>
      </w:r>
      <w:r>
        <w:rPr>
          <w:rFonts w:ascii="Times New Roman" w:hAnsi="Times New Roman" w:eastAsia="MS Mincho"/>
          <w:b w:val="0"/>
          <w:i w:val="0"/>
          <w:sz w:val="24"/>
        </w:rPr>
        <w:t xml:space="preserve">, </w:t>
      </w:r>
      <w:r>
        <w:rPr>
          <w:rFonts w:ascii="Times New Roman" w:hAnsi="Times New Roman" w:eastAsia="MS Mincho"/>
          <w:b w:val="0"/>
          <w:i/>
          <w:sz w:val="24"/>
        </w:rPr>
        <w:t>30</w:t>
      </w:r>
      <w:r>
        <w:rPr>
          <w:rFonts w:ascii="Times New Roman" w:hAnsi="Times New Roman" w:eastAsia="MS Mincho"/>
          <w:b w:val="0"/>
          <w:i w:val="0"/>
          <w:sz w:val="24"/>
        </w:rPr>
        <w:t>(4), 889–920. https://doi.org/10.2307/2526758</w:t>
      </w:r>
    </w:p>
    <w:p>
      <w:pPr>
        <w:spacing w:after="120" w:line="360" w:lineRule="auto"/>
        <w:ind w:firstLine="480"/>
      </w:pPr>
      <w:r>
        <w:rPr>
          <w:rFonts w:ascii="Times New Roman" w:hAnsi="Times New Roman" w:eastAsia="MS Mincho"/>
          <w:b w:val="0"/>
          <w:i w:val="0"/>
          <w:sz w:val="24"/>
        </w:rPr>
        <w:t xml:space="preserve">Arrow, K. J., Dasgupta, P., Goulder, L. H., Mumford, K. J., &amp; Oleson, K. (2012). Sustainability and the measurement of wealth. </w:t>
      </w:r>
      <w:r>
        <w:rPr>
          <w:rFonts w:ascii="Times New Roman" w:hAnsi="Times New Roman" w:eastAsia="MS Mincho"/>
          <w:b w:val="0"/>
          <w:i/>
          <w:sz w:val="24"/>
        </w:rPr>
        <w:t>Environment and Development Economics</w:t>
      </w:r>
      <w:r>
        <w:rPr>
          <w:rFonts w:ascii="Times New Roman" w:hAnsi="Times New Roman" w:eastAsia="MS Mincho"/>
          <w:b w:val="0"/>
          <w:i w:val="0"/>
          <w:sz w:val="24"/>
        </w:rPr>
        <w:t xml:space="preserve">, </w:t>
      </w:r>
      <w:r>
        <w:rPr>
          <w:rFonts w:ascii="Times New Roman" w:hAnsi="Times New Roman" w:eastAsia="MS Mincho"/>
          <w:b w:val="0"/>
          <w:i/>
          <w:sz w:val="24"/>
        </w:rPr>
        <w:t>17</w:t>
      </w:r>
      <w:r>
        <w:rPr>
          <w:rFonts w:ascii="Times New Roman" w:hAnsi="Times New Roman" w:eastAsia="MS Mincho"/>
          <w:b w:val="0"/>
          <w:i w:val="0"/>
          <w:sz w:val="24"/>
        </w:rPr>
        <w:t>(3), 317–353. https://doi.org/10.1017/S1355770X12000137</w:t>
      </w:r>
    </w:p>
    <w:p>
      <w:pPr>
        <w:spacing w:after="120" w:line="360" w:lineRule="auto"/>
        <w:ind w:firstLine="480"/>
      </w:pPr>
      <w:r>
        <w:rPr>
          <w:rFonts w:ascii="Times New Roman" w:hAnsi="Times New Roman" w:eastAsia="MS Mincho"/>
          <w:b w:val="0"/>
          <w:i w:val="0"/>
          <w:sz w:val="24"/>
        </w:rPr>
        <w:t xml:space="preserve">Bongaarts, J., &amp; Feeney, G. (1998). On the quantum and tempo of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24</w:t>
      </w:r>
      <w:r>
        <w:rPr>
          <w:rFonts w:ascii="Times New Roman" w:hAnsi="Times New Roman" w:eastAsia="MS Mincho"/>
          <w:b w:val="0"/>
          <w:i w:val="0"/>
          <w:sz w:val="24"/>
        </w:rPr>
        <w:t>(2), 271–291. https://doi.org/10.2307/2807974</w:t>
      </w:r>
    </w:p>
    <w:p>
      <w:pPr>
        <w:spacing w:after="120" w:line="360" w:lineRule="auto"/>
        <w:ind w:firstLine="480"/>
      </w:pPr>
      <w:r>
        <w:rPr>
          <w:rFonts w:ascii="Times New Roman" w:hAnsi="Times New Roman" w:eastAsia="MS Mincho"/>
          <w:b w:val="0"/>
          <w:i w:val="0"/>
          <w:sz w:val="24"/>
        </w:rPr>
        <w:t xml:space="preserve">Bongaarts, J., &amp; Sobotka, T. (2012). A demographic explanation for the recent rise in European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38</w:t>
      </w:r>
      <w:r>
        <w:rPr>
          <w:rFonts w:ascii="Times New Roman" w:hAnsi="Times New Roman" w:eastAsia="MS Mincho"/>
          <w:b w:val="0"/>
          <w:i w:val="0"/>
          <w:sz w:val="24"/>
        </w:rPr>
        <w:t>(1), 83–120. https://doi.org/10.1111/j.1728-4457.2012.00473.x</w:t>
      </w:r>
    </w:p>
    <w:p>
      <w:pPr>
        <w:spacing w:after="120" w:line="360" w:lineRule="auto"/>
        <w:ind w:firstLine="480"/>
      </w:pPr>
      <w:r>
        <w:rPr>
          <w:rFonts w:ascii="Times New Roman" w:hAnsi="Times New Roman" w:eastAsia="MS Mincho"/>
          <w:b w:val="0"/>
          <w:i w:val="0"/>
          <w:sz w:val="24"/>
        </w:rPr>
        <w:t xml:space="preserve">Brass, W. (1971). On the scale of mortality. In W. Brass (Ed.), </w:t>
      </w:r>
      <w:r>
        <w:rPr>
          <w:rFonts w:ascii="Times New Roman" w:hAnsi="Times New Roman" w:eastAsia="MS Mincho"/>
          <w:b w:val="0"/>
          <w:i/>
          <w:sz w:val="24"/>
        </w:rPr>
        <w:t>Biological aspects of demography</w:t>
      </w:r>
      <w:r>
        <w:rPr>
          <w:rFonts w:ascii="Times New Roman" w:hAnsi="Times New Roman" w:eastAsia="MS Mincho"/>
          <w:b w:val="0"/>
          <w:i w:val="0"/>
          <w:sz w:val="24"/>
        </w:rPr>
        <w:t xml:space="preserve"> (pp. 69–110). Taylor and Francis.</w:t>
      </w:r>
    </w:p>
    <w:p>
      <w:pPr>
        <w:spacing w:after="120" w:line="360" w:lineRule="auto"/>
        <w:ind w:firstLine="480"/>
      </w:pPr>
      <w:r>
        <w:rPr>
          <w:rFonts w:ascii="Times New Roman" w:hAnsi="Times New Roman" w:eastAsia="MS Mincho"/>
          <w:b w:val="0"/>
          <w:i w:val="0"/>
          <w:sz w:val="24"/>
        </w:rPr>
        <w:t xml:space="preserve">Christiano, L. J., &amp; Todd, R. M. (1996). Time to plan and aggregate fluctuations. </w:t>
      </w:r>
      <w:r>
        <w:rPr>
          <w:rFonts w:ascii="Times New Roman" w:hAnsi="Times New Roman" w:eastAsia="MS Mincho"/>
          <w:b w:val="0"/>
          <w:i/>
          <w:sz w:val="24"/>
        </w:rPr>
        <w:t>Federal Reserve Bank of Minneapolis Quarterly Review</w:t>
      </w:r>
      <w:r>
        <w:rPr>
          <w:rFonts w:ascii="Times New Roman" w:hAnsi="Times New Roman" w:eastAsia="MS Mincho"/>
          <w:b w:val="0"/>
          <w:i w:val="0"/>
          <w:sz w:val="24"/>
        </w:rPr>
        <w:t xml:space="preserve">, </w:t>
      </w:r>
      <w:r>
        <w:rPr>
          <w:rFonts w:ascii="Times New Roman" w:hAnsi="Times New Roman" w:eastAsia="MS Mincho"/>
          <w:b w:val="0"/>
          <w:i/>
          <w:sz w:val="24"/>
        </w:rPr>
        <w:t>20</w:t>
      </w:r>
      <w:r>
        <w:rPr>
          <w:rFonts w:ascii="Times New Roman" w:hAnsi="Times New Roman" w:eastAsia="MS Mincho"/>
          <w:b w:val="0"/>
          <w:i w:val="0"/>
          <w:sz w:val="24"/>
        </w:rPr>
        <w:t>(1), 14–27.</w:t>
      </w:r>
    </w:p>
    <w:p>
      <w:pPr>
        <w:spacing w:after="120" w:line="360" w:lineRule="auto"/>
        <w:ind w:firstLine="480"/>
      </w:pPr>
      <w:r>
        <w:rPr>
          <w:rFonts w:ascii="Times New Roman" w:hAnsi="Times New Roman" w:eastAsia="MS Mincho"/>
          <w:b w:val="0"/>
          <w:i w:val="0"/>
          <w:sz w:val="24"/>
        </w:rPr>
        <w:t xml:space="preserve">Corrado, C., Hulten, C., &amp; Sichel, D. (2005). Measuring capital and technology: An expanded framework. In C. Corrado, J. Haltiwanger, &amp; D. Sichel (Eds.), </w:t>
      </w:r>
      <w:r>
        <w:rPr>
          <w:rFonts w:ascii="Times New Roman" w:hAnsi="Times New Roman" w:eastAsia="MS Mincho"/>
          <w:b w:val="0"/>
          <w:i/>
          <w:sz w:val="24"/>
        </w:rPr>
        <w:t>Measuring capital in the new economy</w:t>
      </w:r>
      <w:r>
        <w:rPr>
          <w:rFonts w:ascii="Times New Roman" w:hAnsi="Times New Roman" w:eastAsia="MS Mincho"/>
          <w:b w:val="0"/>
          <w:i w:val="0"/>
          <w:sz w:val="24"/>
        </w:rPr>
        <w:t xml:space="preserve"> (pp. 11–46). University of Chicago Press. https://doi.org/10.7208/chicago/9780226116174.003.0002</w:t>
      </w:r>
    </w:p>
    <w:p>
      <w:pPr>
        <w:spacing w:after="120" w:line="360" w:lineRule="auto"/>
        <w:ind w:firstLine="480"/>
      </w:pPr>
      <w:r>
        <w:rPr>
          <w:rFonts w:ascii="Times New Roman" w:hAnsi="Times New Roman" w:eastAsia="MS Mincho"/>
          <w:b w:val="0"/>
          <w:i w:val="0"/>
          <w:sz w:val="24"/>
        </w:rPr>
        <w:t xml:space="preserve">Corrado, C., Hulten, C., &amp; Sichel, D. (2009). Intangible capital and US economic growth. </w:t>
      </w:r>
      <w:r>
        <w:rPr>
          <w:rFonts w:ascii="Times New Roman" w:hAnsi="Times New Roman" w:eastAsia="MS Mincho"/>
          <w:b w:val="0"/>
          <w:i/>
          <w:sz w:val="24"/>
        </w:rPr>
        <w:t>Review of Income and Wealth</w:t>
      </w:r>
      <w:r>
        <w:rPr>
          <w:rFonts w:ascii="Times New Roman" w:hAnsi="Times New Roman" w:eastAsia="MS Mincho"/>
          <w:b w:val="0"/>
          <w:i w:val="0"/>
          <w:sz w:val="24"/>
        </w:rPr>
        <w:t xml:space="preserve">, </w:t>
      </w:r>
      <w:r>
        <w:rPr>
          <w:rFonts w:ascii="Times New Roman" w:hAnsi="Times New Roman" w:eastAsia="MS Mincho"/>
          <w:b w:val="0"/>
          <w:i/>
          <w:sz w:val="24"/>
        </w:rPr>
        <w:t>55</w:t>
      </w:r>
      <w:r>
        <w:rPr>
          <w:rFonts w:ascii="Times New Roman" w:hAnsi="Times New Roman" w:eastAsia="MS Mincho"/>
          <w:b w:val="0"/>
          <w:i w:val="0"/>
          <w:sz w:val="24"/>
        </w:rPr>
        <w:t>(3), 661–685. https://doi.org/10.1111/j.1475-4991.2009.00343.x</w:t>
      </w:r>
    </w:p>
    <w:p>
      <w:pPr>
        <w:spacing w:after="120" w:line="360" w:lineRule="auto"/>
        <w:ind w:firstLine="480"/>
      </w:pPr>
      <w:r>
        <w:rPr>
          <w:rFonts w:ascii="Times New Roman" w:hAnsi="Times New Roman" w:eastAsia="MS Mincho"/>
          <w:b w:val="0"/>
          <w:i w:val="0"/>
          <w:sz w:val="24"/>
        </w:rPr>
        <w:t>Corrado, C., Haskel, J., Jona-Lasinio, C., &amp; Iommi, M. (2016). Intangible investment in the EU and US before and since the Great Recession and its contribution to productivity growth (EIB Working Papers 2016/08). European Investment Bank.</w:t>
      </w:r>
    </w:p>
    <w:p>
      <w:pPr>
        <w:spacing w:after="120" w:line="360" w:lineRule="auto"/>
        <w:ind w:firstLine="480"/>
      </w:pPr>
      <w:r>
        <w:rPr>
          <w:rFonts w:ascii="Times New Roman" w:hAnsi="Times New Roman" w:eastAsia="MS Mincho"/>
          <w:b w:val="0"/>
          <w:i w:val="0"/>
          <w:sz w:val="24"/>
        </w:rPr>
        <w:t xml:space="preserve">Corrado, C., Haskel, J., Iommi, M., &amp; Jona-Lasinio, C. (2020). Intangible capital, innovation and productivity à la Jorgenson: Evidence from Europe and the US. In B. M. Fraumeni (Ed.), </w:t>
      </w:r>
      <w:r>
        <w:rPr>
          <w:rFonts w:ascii="Times New Roman" w:hAnsi="Times New Roman" w:eastAsia="MS Mincho"/>
          <w:b w:val="0"/>
          <w:i/>
          <w:sz w:val="24"/>
        </w:rPr>
        <w:t>Measuring economic growth and productivity</w:t>
      </w:r>
      <w:r>
        <w:rPr>
          <w:rFonts w:ascii="Times New Roman" w:hAnsi="Times New Roman" w:eastAsia="MS Mincho"/>
          <w:b w:val="0"/>
          <w:i w:val="0"/>
          <w:sz w:val="24"/>
        </w:rPr>
        <w:t xml:space="preserve"> (pp. 363–385). Academic Press. https://doi.org/10.1016/B978-0-12-817596-5.00019-2</w:t>
      </w:r>
    </w:p>
    <w:p>
      <w:pPr>
        <w:spacing w:after="120" w:line="360" w:lineRule="auto"/>
        <w:ind w:firstLine="480"/>
      </w:pPr>
      <w:r>
        <w:rPr>
          <w:rFonts w:ascii="Times New Roman" w:hAnsi="Times New Roman" w:eastAsia="MS Mincho"/>
          <w:b w:val="0"/>
          <w:i w:val="0"/>
          <w:sz w:val="24"/>
        </w:rPr>
        <w:t xml:space="preserve">Dasgupta, P. (2021). </w:t>
      </w:r>
      <w:r>
        <w:rPr>
          <w:rFonts w:ascii="Times New Roman" w:hAnsi="Times New Roman" w:eastAsia="MS Mincho"/>
          <w:b w:val="0"/>
          <w:i/>
          <w:sz w:val="24"/>
        </w:rPr>
        <w:t>The economics of biodiversity: The Dasgupta review</w:t>
      </w:r>
      <w:r>
        <w:rPr>
          <w:rFonts w:ascii="Times New Roman" w:hAnsi="Times New Roman" w:eastAsia="MS Mincho"/>
          <w:b w:val="0"/>
          <w:i w:val="0"/>
          <w:sz w:val="24"/>
        </w:rPr>
        <w:t>. HM Treasury.</w:t>
      </w:r>
    </w:p>
    <w:p>
      <w:pPr>
        <w:spacing w:after="120" w:line="360" w:lineRule="auto"/>
        <w:ind w:firstLine="480"/>
      </w:pPr>
      <w:r>
        <w:rPr>
          <w:rFonts w:ascii="Times New Roman" w:hAnsi="Times New Roman" w:eastAsia="MS Mincho"/>
          <w:b w:val="0"/>
          <w:i w:val="0"/>
          <w:sz w:val="24"/>
        </w:rPr>
        <w:t xml:space="preserve">Edge, R. M. (2007). Time-to-build, time-to-plan, habit-persistence, and the liquidity effect. </w:t>
      </w:r>
      <w:r>
        <w:rPr>
          <w:rFonts w:ascii="Times New Roman" w:hAnsi="Times New Roman" w:eastAsia="MS Mincho"/>
          <w:b w:val="0"/>
          <w:i/>
          <w:sz w:val="24"/>
        </w:rPr>
        <w:t>Journal of Monetary Economics</w:t>
      </w:r>
      <w:r>
        <w:rPr>
          <w:rFonts w:ascii="Times New Roman" w:hAnsi="Times New Roman" w:eastAsia="MS Mincho"/>
          <w:b w:val="0"/>
          <w:i w:val="0"/>
          <w:sz w:val="24"/>
        </w:rPr>
        <w:t xml:space="preserve">, </w:t>
      </w:r>
      <w:r>
        <w:rPr>
          <w:rFonts w:ascii="Times New Roman" w:hAnsi="Times New Roman" w:eastAsia="MS Mincho"/>
          <w:b w:val="0"/>
          <w:i/>
          <w:sz w:val="24"/>
        </w:rPr>
        <w:t>54</w:t>
      </w:r>
      <w:r>
        <w:rPr>
          <w:rFonts w:ascii="Times New Roman" w:hAnsi="Times New Roman" w:eastAsia="MS Mincho"/>
          <w:b w:val="0"/>
          <w:i w:val="0"/>
          <w:sz w:val="24"/>
        </w:rPr>
        <w:t>(6), 1644–1669. https://doi.org/10.1016/j.jmoneco.2006.07.005</w:t>
      </w:r>
    </w:p>
    <w:p>
      <w:pPr>
        <w:spacing w:after="120" w:line="360" w:lineRule="auto"/>
        <w:ind w:firstLine="480"/>
      </w:pPr>
      <w:r>
        <w:rPr>
          <w:rFonts w:ascii="Times New Roman" w:hAnsi="Times New Roman" w:eastAsia="MS Mincho"/>
          <w:b w:val="0"/>
          <w:i w:val="0"/>
          <w:sz w:val="24"/>
        </w:rPr>
        <w:t xml:space="preserve">Feenstra, R. C., Inklaar, R., &amp; Timmer, M. P. (2015). The next generation of the Penn World Table.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105</w:t>
      </w:r>
      <w:r>
        <w:rPr>
          <w:rFonts w:ascii="Times New Roman" w:hAnsi="Times New Roman" w:eastAsia="MS Mincho"/>
          <w:b w:val="0"/>
          <w:i w:val="0"/>
          <w:sz w:val="24"/>
        </w:rPr>
        <w:t>(10), 3150–3182. https://doi.org/10.1257/aer.20130954</w:t>
      </w:r>
    </w:p>
    <w:p>
      <w:pPr>
        <w:spacing w:after="120" w:line="360" w:lineRule="auto"/>
        <w:ind w:firstLine="480"/>
      </w:pPr>
      <w:r>
        <w:rPr>
          <w:rFonts w:ascii="Times New Roman" w:hAnsi="Times New Roman" w:eastAsia="MS Mincho"/>
          <w:b w:val="0"/>
          <w:i w:val="0"/>
          <w:sz w:val="24"/>
        </w:rPr>
        <w:t xml:space="preserve">Goldstein, J. R., Lutz, W., &amp; Scherbov, S. (2003). Long-term population decline in Europe: The relative importance of tempo effects and generational length.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(4), 699–707. https://doi.org/10.1111/j.1728-4457.2003.00699.x</w:t>
      </w:r>
    </w:p>
    <w:p>
      <w:pPr>
        <w:spacing w:after="120" w:line="360" w:lineRule="auto"/>
        <w:ind w:firstLine="480"/>
      </w:pPr>
      <w:r>
        <w:rPr>
          <w:rFonts w:ascii="Times New Roman" w:hAnsi="Times New Roman" w:eastAsia="MS Mincho"/>
          <w:b w:val="0"/>
          <w:i w:val="0"/>
          <w:sz w:val="24"/>
        </w:rPr>
        <w:t xml:space="preserve">Griliches, Z. (1996). The discovery of the residual: A historical note.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1324–1330.</w:t>
      </w:r>
    </w:p>
    <w:p>
      <w:pPr>
        <w:spacing w:after="120" w:line="360" w:lineRule="auto"/>
        <w:ind w:firstLine="480"/>
      </w:pPr>
      <w:r>
        <w:rPr>
          <w:rFonts w:ascii="Times New Roman" w:hAnsi="Times New Roman" w:eastAsia="MS Mincho"/>
          <w:b w:val="0"/>
          <w:i w:val="0"/>
          <w:sz w:val="24"/>
        </w:rPr>
        <w:t xml:space="preserve">Haskel, J., &amp; Westlake, S. (2017). </w:t>
      </w:r>
      <w:r>
        <w:rPr>
          <w:rFonts w:ascii="Times New Roman" w:hAnsi="Times New Roman" w:eastAsia="MS Mincho"/>
          <w:b w:val="0"/>
          <w:i/>
          <w:sz w:val="24"/>
        </w:rPr>
        <w:t>Capitalism without capital: The rise of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Haskel, J., &amp; Westlake, S. (2022). </w:t>
      </w:r>
      <w:r>
        <w:rPr>
          <w:rFonts w:ascii="Times New Roman" w:hAnsi="Times New Roman" w:eastAsia="MS Mincho"/>
          <w:b w:val="0"/>
          <w:i/>
          <w:sz w:val="24"/>
        </w:rPr>
        <w:t>Restarting the future: How to fix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Havranek, T., &amp; Rusnak, M. (2013). Transmission lags of monetary policy: A meta-analysis. </w:t>
      </w:r>
      <w:r>
        <w:rPr>
          <w:rFonts w:ascii="Times New Roman" w:hAnsi="Times New Roman" w:eastAsia="MS Mincho"/>
          <w:b w:val="0"/>
          <w:i/>
          <w:sz w:val="24"/>
        </w:rPr>
        <w:t>International Journal of Central Banking</w:t>
      </w:r>
      <w:r>
        <w:rPr>
          <w:rFonts w:ascii="Times New Roman" w:hAnsi="Times New Roman" w:eastAsia="MS Mincho"/>
          <w:b w:val="0"/>
          <w:i w:val="0"/>
          <w:sz w:val="24"/>
        </w:rPr>
        <w:t xml:space="preserve">, </w:t>
      </w:r>
      <w:r>
        <w:rPr>
          <w:rFonts w:ascii="Times New Roman" w:hAnsi="Times New Roman" w:eastAsia="MS Mincho"/>
          <w:b w:val="0"/>
          <w:i/>
          <w:sz w:val="24"/>
        </w:rPr>
        <w:t>9</w:t>
      </w:r>
      <w:r>
        <w:rPr>
          <w:rFonts w:ascii="Times New Roman" w:hAnsi="Times New Roman" w:eastAsia="MS Mincho"/>
          <w:b w:val="0"/>
          <w:i w:val="0"/>
          <w:sz w:val="24"/>
        </w:rPr>
        <w:t>(4), 39–76.</w:t>
      </w:r>
    </w:p>
    <w:p>
      <w:pPr>
        <w:spacing w:after="120" w:line="360" w:lineRule="auto"/>
        <w:ind w:firstLine="480"/>
      </w:pPr>
      <w:r>
        <w:rPr>
          <w:rFonts w:ascii="Times New Roman" w:hAnsi="Times New Roman" w:eastAsia="MS Mincho"/>
          <w:b w:val="0"/>
          <w:i w:val="0"/>
          <w:sz w:val="24"/>
        </w:rPr>
        <w:t xml:space="preserve">Hayashi, F., &amp; Prescott, E. C. (2002). The 1990s in Japan: A lost decade. </w:t>
      </w:r>
      <w:r>
        <w:rPr>
          <w:rFonts w:ascii="Times New Roman" w:hAnsi="Times New Roman" w:eastAsia="MS Mincho"/>
          <w:b w:val="0"/>
          <w:i/>
          <w:sz w:val="24"/>
        </w:rPr>
        <w:t>Review of Economic Dynamics</w:t>
      </w:r>
      <w:r>
        <w:rPr>
          <w:rFonts w:ascii="Times New Roman" w:hAnsi="Times New Roman" w:eastAsia="MS Mincho"/>
          <w:b w:val="0"/>
          <w:i w:val="0"/>
          <w:sz w:val="24"/>
        </w:rPr>
        <w:t xml:space="preserve">, </w:t>
      </w:r>
      <w:r>
        <w:rPr>
          <w:rFonts w:ascii="Times New Roman" w:hAnsi="Times New Roman" w:eastAsia="MS Mincho"/>
          <w:b w:val="0"/>
          <w:i/>
          <w:sz w:val="24"/>
        </w:rPr>
        <w:t>5</w:t>
      </w:r>
      <w:r>
        <w:rPr>
          <w:rFonts w:ascii="Times New Roman" w:hAnsi="Times New Roman" w:eastAsia="MS Mincho"/>
          <w:b w:val="0"/>
          <w:i w:val="0"/>
          <w:sz w:val="24"/>
        </w:rPr>
        <w:t>(1), 206–235. https://doi.org/10.1006/redy.2001.0149</w:t>
      </w:r>
    </w:p>
    <w:p>
      <w:pPr>
        <w:spacing w:after="120" w:line="360" w:lineRule="auto"/>
        <w:ind w:firstLine="480"/>
      </w:pPr>
      <w:r>
        <w:rPr>
          <w:rFonts w:ascii="Times New Roman" w:hAnsi="Times New Roman" w:eastAsia="MS Mincho"/>
          <w:b w:val="0"/>
          <w:i w:val="0"/>
          <w:sz w:val="24"/>
        </w:rPr>
        <w:t xml:space="preserve">Hulten, C. R. (1992). Growth accounting when technical change is embodied in capital.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82</w:t>
      </w:r>
      <w:r>
        <w:rPr>
          <w:rFonts w:ascii="Times New Roman" w:hAnsi="Times New Roman" w:eastAsia="MS Mincho"/>
          <w:b w:val="0"/>
          <w:i w:val="0"/>
          <w:sz w:val="24"/>
        </w:rPr>
        <w:t>(4), 964–980.</w:t>
      </w:r>
    </w:p>
    <w:p>
      <w:pPr>
        <w:spacing w:after="120" w:line="360" w:lineRule="auto"/>
        <w:ind w:firstLine="480"/>
      </w:pPr>
      <w:r>
        <w:rPr>
          <w:rFonts w:ascii="Times New Roman" w:hAnsi="Times New Roman" w:eastAsia="MS Mincho"/>
          <w:b w:val="0"/>
          <w:i w:val="0"/>
          <w:sz w:val="24"/>
        </w:rPr>
        <w:t>Inklaar, R., &amp; Timmer, M. P. (2013). Capital, labor and TFP in PWT 8.0 (Research Memorandum GD-144). Groningen Growth and Development Centre.</w:t>
      </w:r>
    </w:p>
    <w:p>
      <w:pPr>
        <w:spacing w:after="120" w:line="360" w:lineRule="auto"/>
        <w:ind w:firstLine="480"/>
      </w:pPr>
      <w:r>
        <w:rPr>
          <w:rFonts w:ascii="Times New Roman" w:hAnsi="Times New Roman" w:eastAsia="MS Mincho"/>
          <w:b w:val="0"/>
          <w:i w:val="0"/>
          <w:sz w:val="24"/>
        </w:rPr>
        <w:t xml:space="preserve">Jorgenson, D. W., &amp; Griliches, Z. (1967). The explanation of productivity change. </w:t>
      </w:r>
      <w:r>
        <w:rPr>
          <w:rFonts w:ascii="Times New Roman" w:hAnsi="Times New Roman" w:eastAsia="MS Mincho"/>
          <w:b w:val="0"/>
          <w:i/>
          <w:sz w:val="24"/>
        </w:rPr>
        <w:t>Review of Economic Studies</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249–283. https://doi.org/10.2307/2296675</w:t>
      </w:r>
    </w:p>
    <w:p>
      <w:pPr>
        <w:spacing w:after="120" w:line="360" w:lineRule="auto"/>
        <w:ind w:firstLine="480"/>
      </w:pPr>
      <w:r>
        <w:rPr>
          <w:rFonts w:ascii="Times New Roman" w:hAnsi="Times New Roman" w:eastAsia="MS Mincho"/>
          <w:b w:val="0"/>
          <w:i w:val="0"/>
          <w:sz w:val="24"/>
        </w:rPr>
        <w:t xml:space="preserve">Jorgenson, D. W. (2018). Production and welfare: Progress in economic measurement.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56</w:t>
      </w:r>
      <w:r>
        <w:rPr>
          <w:rFonts w:ascii="Times New Roman" w:hAnsi="Times New Roman" w:eastAsia="MS Mincho"/>
          <w:b w:val="0"/>
          <w:i w:val="0"/>
          <w:sz w:val="24"/>
        </w:rPr>
        <w:t>(3), 867–919. https://doi.org/10.1257/jel.20171358</w:t>
      </w:r>
    </w:p>
    <w:p>
      <w:pPr>
        <w:spacing w:after="120" w:line="360" w:lineRule="auto"/>
        <w:ind w:firstLine="480"/>
      </w:pPr>
      <w:r>
        <w:rPr>
          <w:rFonts w:ascii="Times New Roman" w:hAnsi="Times New Roman" w:eastAsia="MS Mincho"/>
          <w:b w:val="0"/>
          <w:i w:val="0"/>
          <w:sz w:val="24"/>
        </w:rPr>
        <w:t xml:space="preserve">Jorgenson, D. W., Ho, M. S., &amp; Stiroh, K. J. (2018). </w:t>
      </w:r>
      <w:r>
        <w:rPr>
          <w:rFonts w:ascii="Times New Roman" w:hAnsi="Times New Roman" w:eastAsia="MS Mincho"/>
          <w:b w:val="0"/>
          <w:i/>
          <w:sz w:val="24"/>
        </w:rPr>
        <w:t>Productivity, Vol. 3: Information technology and the American growth resurgence</w:t>
      </w:r>
      <w:r>
        <w:rPr>
          <w:rFonts w:ascii="Times New Roman" w:hAnsi="Times New Roman" w:eastAsia="MS Mincho"/>
          <w:b w:val="0"/>
          <w:i w:val="0"/>
          <w:sz w:val="24"/>
        </w:rPr>
        <w:t>. MIT Press.</w:t>
      </w:r>
    </w:p>
    <w:p>
      <w:pPr>
        <w:spacing w:after="120" w:line="360" w:lineRule="auto"/>
        <w:ind w:firstLine="480"/>
      </w:pPr>
      <w:r>
        <w:rPr>
          <w:rFonts w:ascii="Times New Roman" w:hAnsi="Times New Roman" w:eastAsia="MS Mincho"/>
          <w:b w:val="0"/>
          <w:i w:val="0"/>
          <w:sz w:val="24"/>
        </w:rPr>
        <w:t xml:space="preserve">Kaboski, J. P. (2005). Factor price uncertainty, technology choice and investment delay. </w:t>
      </w:r>
      <w:r>
        <w:rPr>
          <w:rFonts w:ascii="Times New Roman" w:hAnsi="Times New Roman" w:eastAsia="MS Mincho"/>
          <w:b w:val="0"/>
          <w:i/>
          <w:sz w:val="24"/>
        </w:rPr>
        <w:t>Journal of Economic Dynamics and Control</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(3), 509–527. https://doi.org/10.1016/j.jedc.2004.02.004</w:t>
      </w:r>
    </w:p>
    <w:p>
      <w:pPr>
        <w:spacing w:after="120" w:line="360" w:lineRule="auto"/>
        <w:ind w:firstLine="480"/>
      </w:pPr>
      <w:r>
        <w:rPr>
          <w:rFonts w:ascii="Times New Roman" w:hAnsi="Times New Roman" w:eastAsia="MS Mincho"/>
          <w:b w:val="0"/>
          <w:i w:val="0"/>
          <w:sz w:val="24"/>
        </w:rPr>
        <w:t xml:space="preserve">Karabarbounis, L., &amp; Neiman, B. (2014). The global decline of the labor share. </w:t>
      </w:r>
      <w:r>
        <w:rPr>
          <w:rFonts w:ascii="Times New Roman" w:hAnsi="Times New Roman" w:eastAsia="MS Mincho"/>
          <w:b w:val="0"/>
          <w:i/>
          <w:sz w:val="24"/>
        </w:rPr>
        <w:t>Quarterly Journal of Economics</w:t>
      </w:r>
      <w:r>
        <w:rPr>
          <w:rFonts w:ascii="Times New Roman" w:hAnsi="Times New Roman" w:eastAsia="MS Mincho"/>
          <w:b w:val="0"/>
          <w:i w:val="0"/>
          <w:sz w:val="24"/>
        </w:rPr>
        <w:t xml:space="preserve">, </w:t>
      </w:r>
      <w:r>
        <w:rPr>
          <w:rFonts w:ascii="Times New Roman" w:hAnsi="Times New Roman" w:eastAsia="MS Mincho"/>
          <w:b w:val="0"/>
          <w:i/>
          <w:sz w:val="24"/>
        </w:rPr>
        <w:t>129</w:t>
      </w:r>
      <w:r>
        <w:rPr>
          <w:rFonts w:ascii="Times New Roman" w:hAnsi="Times New Roman" w:eastAsia="MS Mincho"/>
          <w:b w:val="0"/>
          <w:i w:val="0"/>
          <w:sz w:val="24"/>
        </w:rPr>
        <w:t>(1), 61–103. https://doi.org/10.1093/qje/qjt032</w:t>
      </w:r>
    </w:p>
    <w:p>
      <w:pPr>
        <w:spacing w:after="120" w:line="360" w:lineRule="auto"/>
        <w:ind w:firstLine="480"/>
      </w:pPr>
      <w:r>
        <w:rPr>
          <w:rFonts w:ascii="Times New Roman" w:hAnsi="Times New Roman" w:eastAsia="MS Mincho"/>
          <w:b w:val="0"/>
          <w:i w:val="0"/>
          <w:sz w:val="24"/>
        </w:rPr>
        <w:t>Koeva, P. (2000). The facts about time-to-build (IMF Working Paper 00/138). International Monetary Fund.</w:t>
      </w:r>
    </w:p>
    <w:p>
      <w:pPr>
        <w:spacing w:after="120" w:line="360" w:lineRule="auto"/>
        <w:ind w:firstLine="480"/>
      </w:pPr>
      <w:r>
        <w:rPr>
          <w:rFonts w:ascii="Times New Roman" w:hAnsi="Times New Roman" w:eastAsia="MS Mincho"/>
          <w:b w:val="0"/>
          <w:i w:val="0"/>
          <w:sz w:val="24"/>
        </w:rPr>
        <w:t xml:space="preserve">Kohler, H.-P., Billari, F. C., &amp; Ortega, J. A. (2002). The emergence of lowest-low fertility in Europe during the 1990s.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28</w:t>
      </w:r>
      <w:r>
        <w:rPr>
          <w:rFonts w:ascii="Times New Roman" w:hAnsi="Times New Roman" w:eastAsia="MS Mincho"/>
          <w:b w:val="0"/>
          <w:i w:val="0"/>
          <w:sz w:val="24"/>
        </w:rPr>
        <w:t>(4), 641–680. https://doi.org/10.1111/j.1728-4457.2002.00641.x</w:t>
      </w:r>
    </w:p>
    <w:p>
      <w:pPr>
        <w:spacing w:after="120" w:line="360" w:lineRule="auto"/>
        <w:ind w:firstLine="480"/>
      </w:pPr>
      <w:r>
        <w:rPr>
          <w:rFonts w:ascii="Times New Roman" w:hAnsi="Times New Roman" w:eastAsia="MS Mincho"/>
          <w:b w:val="0"/>
          <w:i w:val="0"/>
          <w:sz w:val="24"/>
        </w:rPr>
        <w:t xml:space="preserve">Kydland, F. E., &amp; Prescott, E. C. (1982). Time to build and aggregate fluctuations. </w:t>
      </w:r>
      <w:r>
        <w:rPr>
          <w:rFonts w:ascii="Times New Roman" w:hAnsi="Times New Roman" w:eastAsia="MS Mincho"/>
          <w:b w:val="0"/>
          <w:i/>
          <w:sz w:val="24"/>
        </w:rPr>
        <w:t>Econometrica</w:t>
      </w:r>
      <w:r>
        <w:rPr>
          <w:rFonts w:ascii="Times New Roman" w:hAnsi="Times New Roman" w:eastAsia="MS Mincho"/>
          <w:b w:val="0"/>
          <w:i w:val="0"/>
          <w:sz w:val="24"/>
        </w:rPr>
        <w:t xml:space="preserve">, </w:t>
      </w:r>
      <w:r>
        <w:rPr>
          <w:rFonts w:ascii="Times New Roman" w:hAnsi="Times New Roman" w:eastAsia="MS Mincho"/>
          <w:b w:val="0"/>
          <w:i/>
          <w:sz w:val="24"/>
        </w:rPr>
        <w:t>50</w:t>
      </w:r>
      <w:r>
        <w:rPr>
          <w:rFonts w:ascii="Times New Roman" w:hAnsi="Times New Roman" w:eastAsia="MS Mincho"/>
          <w:b w:val="0"/>
          <w:i w:val="0"/>
          <w:sz w:val="24"/>
        </w:rPr>
        <w:t>(6), 1345–1370. https://doi.org/10.2307/1913386</w:t>
      </w:r>
    </w:p>
    <w:p>
      <w:pPr>
        <w:spacing w:after="120" w:line="360" w:lineRule="auto"/>
        <w:ind w:firstLine="480"/>
      </w:pPr>
      <w:r>
        <w:rPr>
          <w:rFonts w:ascii="Times New Roman" w:hAnsi="Times New Roman" w:eastAsia="MS Mincho"/>
          <w:b w:val="0"/>
          <w:i w:val="0"/>
          <w:sz w:val="24"/>
        </w:rPr>
        <w:t xml:space="preserve">Lange, G.-M., Wodon, Q., &amp; Carey, K. (Eds.). (2018). </w:t>
      </w:r>
      <w:r>
        <w:rPr>
          <w:rFonts w:ascii="Times New Roman" w:hAnsi="Times New Roman" w:eastAsia="MS Mincho"/>
          <w:b w:val="0"/>
          <w:i/>
          <w:sz w:val="24"/>
        </w:rPr>
        <w:t>The changing wealth of nations 2018: Building a sustainable future</w:t>
      </w:r>
      <w:r>
        <w:rPr>
          <w:rFonts w:ascii="Times New Roman" w:hAnsi="Times New Roman" w:eastAsia="MS Mincho"/>
          <w:b w:val="0"/>
          <w:i w:val="0"/>
          <w:sz w:val="24"/>
        </w:rPr>
        <w:t>. World Bank. https://doi.org/10.1596/978-1-4648-1046-6</w:t>
      </w:r>
    </w:p>
    <w:p>
      <w:pPr>
        <w:spacing w:after="120" w:line="360" w:lineRule="auto"/>
        <w:ind w:firstLine="480"/>
      </w:pPr>
      <w:r>
        <w:rPr>
          <w:rFonts w:ascii="Times New Roman" w:hAnsi="Times New Roman" w:eastAsia="MS Mincho"/>
          <w:b w:val="0"/>
          <w:i w:val="0"/>
          <w:sz w:val="24"/>
        </w:rPr>
        <w:t xml:space="preserve">Managi, S., &amp; Kumar, P. (Eds.). (2018). </w:t>
      </w:r>
      <w:r>
        <w:rPr>
          <w:rFonts w:ascii="Times New Roman" w:hAnsi="Times New Roman" w:eastAsia="MS Mincho"/>
          <w:b w:val="0"/>
          <w:i/>
          <w:sz w:val="24"/>
        </w:rPr>
        <w:t>Inclusive wealth report 2018</w:t>
      </w:r>
      <w:r>
        <w:rPr>
          <w:rFonts w:ascii="Times New Roman" w:hAnsi="Times New Roman" w:eastAsia="MS Mincho"/>
          <w:b w:val="0"/>
          <w:i w:val="0"/>
          <w:sz w:val="24"/>
        </w:rPr>
        <w:t>. Routledge.</w:t>
      </w:r>
    </w:p>
    <w:p>
      <w:pPr>
        <w:spacing w:after="120" w:line="360" w:lineRule="auto"/>
        <w:ind w:firstLine="480"/>
      </w:pPr>
      <w:r>
        <w:rPr>
          <w:rFonts w:ascii="Times New Roman" w:hAnsi="Times New Roman" w:eastAsia="MS Mincho"/>
          <w:b w:val="0"/>
          <w:i w:val="0"/>
          <w:sz w:val="24"/>
        </w:rPr>
        <w:t xml:space="preserve">Mayer, T. (1960). Plant and equipment lead times. </w:t>
      </w:r>
      <w:r>
        <w:rPr>
          <w:rFonts w:ascii="Times New Roman" w:hAnsi="Times New Roman" w:eastAsia="MS Mincho"/>
          <w:b w:val="0"/>
          <w:i/>
          <w:sz w:val="24"/>
        </w:rPr>
        <w:t>Journal of Business</w:t>
      </w:r>
      <w:r>
        <w:rPr>
          <w:rFonts w:ascii="Times New Roman" w:hAnsi="Times New Roman" w:eastAsia="MS Mincho"/>
          <w:b w:val="0"/>
          <w:i w:val="0"/>
          <w:sz w:val="24"/>
        </w:rPr>
        <w:t xml:space="preserve">, </w:t>
      </w:r>
      <w:r>
        <w:rPr>
          <w:rFonts w:ascii="Times New Roman" w:hAnsi="Times New Roman" w:eastAsia="MS Mincho"/>
          <w:b w:val="0"/>
          <w:i/>
          <w:sz w:val="24"/>
        </w:rPr>
        <w:t>33</w:t>
      </w:r>
      <w:r>
        <w:rPr>
          <w:rFonts w:ascii="Times New Roman" w:hAnsi="Times New Roman" w:eastAsia="MS Mincho"/>
          <w:b w:val="0"/>
          <w:i w:val="0"/>
          <w:sz w:val="24"/>
        </w:rPr>
        <w:t>(2), 127–132. https://doi.org/10.1086/294329</w:t>
      </w:r>
    </w:p>
    <w:p>
      <w:pPr>
        <w:spacing w:after="120" w:line="360" w:lineRule="auto"/>
        <w:ind w:firstLine="480"/>
      </w:pPr>
      <w:r>
        <w:rPr>
          <w:rFonts w:ascii="Times New Roman" w:hAnsi="Times New Roman" w:eastAsia="MS Mincho"/>
          <w:b w:val="0"/>
          <w:i w:val="0"/>
          <w:sz w:val="24"/>
        </w:rPr>
        <w:t xml:space="preserve">McGrattan, E. R., &amp; Prescott, E. C. (2010). Unmeasured investment and the puzzling US boom in the 1990s. </w:t>
      </w:r>
      <w:r>
        <w:rPr>
          <w:rFonts w:ascii="Times New Roman" w:hAnsi="Times New Roman" w:eastAsia="MS Mincho"/>
          <w:b w:val="0"/>
          <w:i/>
          <w:sz w:val="24"/>
        </w:rPr>
        <w:t>American Economic Journal: Macroeconomics</w:t>
      </w:r>
      <w:r>
        <w:rPr>
          <w:rFonts w:ascii="Times New Roman" w:hAnsi="Times New Roman" w:eastAsia="MS Mincho"/>
          <w:b w:val="0"/>
          <w:i w:val="0"/>
          <w:sz w:val="24"/>
        </w:rPr>
        <w:t xml:space="preserve">, </w:t>
      </w:r>
      <w:r>
        <w:rPr>
          <w:rFonts w:ascii="Times New Roman" w:hAnsi="Times New Roman" w:eastAsia="MS Mincho"/>
          <w:b w:val="0"/>
          <w:i/>
          <w:sz w:val="24"/>
        </w:rPr>
        <w:t>2</w:t>
      </w:r>
      <w:r>
        <w:rPr>
          <w:rFonts w:ascii="Times New Roman" w:hAnsi="Times New Roman" w:eastAsia="MS Mincho"/>
          <w:b w:val="0"/>
          <w:i w:val="0"/>
          <w:sz w:val="24"/>
        </w:rPr>
        <w:t>(4), 88–123. https://doi.org/10.1257/mac.2.4.88</w:t>
      </w:r>
    </w:p>
    <w:p>
      <w:pPr>
        <w:spacing w:after="120" w:line="360" w:lineRule="auto"/>
        <w:ind w:firstLine="480"/>
      </w:pPr>
      <w:r>
        <w:rPr>
          <w:rFonts w:ascii="Times New Roman" w:hAnsi="Times New Roman" w:eastAsia="MS Mincho"/>
          <w:b w:val="0"/>
          <w:i w:val="0"/>
          <w:sz w:val="24"/>
        </w:rPr>
        <w:t>Nishimura, K. G., &amp; Saita, Y. (2005). Land prices in Japan: Historical and international comparisons (Bank of Japan Review 2005-E-5). Bank of Japan.</w:t>
      </w:r>
    </w:p>
    <w:p>
      <w:pPr>
        <w:spacing w:after="120" w:line="360" w:lineRule="auto"/>
        <w:ind w:firstLine="480"/>
      </w:pPr>
      <w:r>
        <w:rPr>
          <w:rFonts w:ascii="Times New Roman" w:hAnsi="Times New Roman" w:eastAsia="MS Mincho"/>
          <w:b w:val="0"/>
          <w:i w:val="0"/>
          <w:sz w:val="24"/>
        </w:rPr>
        <w:t xml:space="preserve">OECD. (2013). </w:t>
      </w:r>
      <w:r>
        <w:rPr>
          <w:rFonts w:ascii="Times New Roman" w:hAnsi="Times New Roman" w:eastAsia="MS Mincho"/>
          <w:b w:val="0"/>
          <w:i/>
          <w:sz w:val="24"/>
        </w:rPr>
        <w:t>Supporting investment in knowledge capital, growth and innovation</w:t>
      </w:r>
      <w:r>
        <w:rPr>
          <w:rFonts w:ascii="Times New Roman" w:hAnsi="Times New Roman" w:eastAsia="MS Mincho"/>
          <w:b w:val="0"/>
          <w:i w:val="0"/>
          <w:sz w:val="24"/>
        </w:rPr>
        <w:t>. OECD Publishing. https://doi.org/10.1787/9789264193307-en</w:t>
      </w:r>
    </w:p>
    <w:p>
      <w:pPr>
        <w:spacing w:after="120" w:line="360" w:lineRule="auto"/>
        <w:ind w:firstLine="480"/>
      </w:pPr>
      <w:r>
        <w:rPr>
          <w:rFonts w:ascii="Times New Roman" w:hAnsi="Times New Roman" w:eastAsia="MS Mincho"/>
          <w:b w:val="0"/>
          <w:i w:val="0"/>
          <w:sz w:val="24"/>
        </w:rPr>
        <w:t xml:space="preserve">Roth, F. (2022). Intangible capital and labor productivity growth – Revisiting the evidence: An update. </w:t>
      </w:r>
      <w:r>
        <w:rPr>
          <w:rFonts w:ascii="Times New Roman" w:hAnsi="Times New Roman" w:eastAsia="MS Mincho"/>
          <w:b w:val="0"/>
          <w:i/>
          <w:sz w:val="24"/>
        </w:rPr>
        <w:t>Hamburg Discussion Papers in International Economics</w:t>
      </w:r>
      <w:r>
        <w:rPr>
          <w:rFonts w:ascii="Times New Roman" w:hAnsi="Times New Roman" w:eastAsia="MS Mincho"/>
          <w:b w:val="0"/>
          <w:i w:val="0"/>
          <w:sz w:val="24"/>
        </w:rPr>
        <w:t xml:space="preserve">, </w:t>
      </w:r>
      <w:r>
        <w:rPr>
          <w:rFonts w:ascii="Times New Roman" w:hAnsi="Times New Roman" w:eastAsia="MS Mincho"/>
          <w:b w:val="0"/>
          <w:i/>
          <w:sz w:val="24"/>
        </w:rPr>
        <w:t>11</w:t>
      </w:r>
      <w:r>
        <w:rPr>
          <w:rFonts w:ascii="Times New Roman" w:hAnsi="Times New Roman" w:eastAsia="MS Mincho"/>
          <w:b w:val="0"/>
          <w:i w:val="0"/>
          <w:sz w:val="24"/>
        </w:rPr>
        <w:t>.</w:t>
      </w:r>
    </w:p>
    <w:p>
      <w:pPr>
        <w:spacing w:after="120" w:line="360" w:lineRule="auto"/>
        <w:ind w:firstLine="480"/>
      </w:pPr>
      <w:r>
        <w:rPr>
          <w:rFonts w:ascii="Times New Roman" w:hAnsi="Times New Roman" w:eastAsia="MS Mincho"/>
          <w:b w:val="0"/>
          <w:i w:val="0"/>
          <w:sz w:val="24"/>
        </w:rPr>
        <w:t xml:space="preserve">Smets, F., &amp; Wouters, R. (2007). Shocks and frictions in US business cycles: A Bayesian DSGE approach.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97</w:t>
      </w:r>
      <w:r>
        <w:rPr>
          <w:rFonts w:ascii="Times New Roman" w:hAnsi="Times New Roman" w:eastAsia="MS Mincho"/>
          <w:b w:val="0"/>
          <w:i w:val="0"/>
          <w:sz w:val="24"/>
        </w:rPr>
        <w:t>(3), 586–606. https://doi.org/10.1257/aer.97.3.586</w:t>
      </w:r>
    </w:p>
    <w:p>
      <w:pPr>
        <w:spacing w:after="120" w:line="360" w:lineRule="auto"/>
        <w:ind w:firstLine="480"/>
      </w:pPr>
      <w:r>
        <w:rPr>
          <w:rFonts w:ascii="Times New Roman" w:hAnsi="Times New Roman" w:eastAsia="MS Mincho"/>
          <w:b w:val="0"/>
          <w:i w:val="0"/>
          <w:sz w:val="24"/>
        </w:rPr>
        <w:t xml:space="preserve">Solow, R. M. (1957). Technical change and the aggregate production function. </w:t>
      </w:r>
      <w:r>
        <w:rPr>
          <w:rFonts w:ascii="Times New Roman" w:hAnsi="Times New Roman" w:eastAsia="MS Mincho"/>
          <w:b w:val="0"/>
          <w:i/>
          <w:sz w:val="24"/>
        </w:rPr>
        <w:t>Review of Economics and Statistics</w:t>
      </w:r>
      <w:r>
        <w:rPr>
          <w:rFonts w:ascii="Times New Roman" w:hAnsi="Times New Roman" w:eastAsia="MS Mincho"/>
          <w:b w:val="0"/>
          <w:i w:val="0"/>
          <w:sz w:val="24"/>
        </w:rPr>
        <w:t xml:space="preserve">, </w:t>
      </w:r>
      <w:r>
        <w:rPr>
          <w:rFonts w:ascii="Times New Roman" w:hAnsi="Times New Roman" w:eastAsia="MS Mincho"/>
          <w:b w:val="0"/>
          <w:i/>
          <w:sz w:val="24"/>
        </w:rPr>
        <w:t>39</w:t>
      </w:r>
      <w:r>
        <w:rPr>
          <w:rFonts w:ascii="Times New Roman" w:hAnsi="Times New Roman" w:eastAsia="MS Mincho"/>
          <w:b w:val="0"/>
          <w:i w:val="0"/>
          <w:sz w:val="24"/>
        </w:rPr>
        <w:t>(3), 312–320. https://doi.org/10.2307/1926047</w:t>
      </w:r>
    </w:p>
    <w:p>
      <w:pPr>
        <w:spacing w:after="120" w:line="360" w:lineRule="auto"/>
        <w:ind w:firstLine="480"/>
      </w:pPr>
      <w:r>
        <w:rPr>
          <w:rFonts w:ascii="Times New Roman" w:hAnsi="Times New Roman" w:eastAsia="MS Mincho"/>
          <w:b w:val="0"/>
          <w:i w:val="0"/>
          <w:sz w:val="24"/>
        </w:rPr>
        <w:t xml:space="preserve">Stiglitz, J. E., Sen, A., &amp; Fitoussi, J.-P. (2009). </w:t>
      </w:r>
      <w:r>
        <w:rPr>
          <w:rFonts w:ascii="Times New Roman" w:hAnsi="Times New Roman" w:eastAsia="MS Mincho"/>
          <w:b w:val="0"/>
          <w:i/>
          <w:sz w:val="24"/>
        </w:rPr>
        <w:t>Report by the Commission on the Measurement of Economic Performance and Social Progress</w:t>
      </w:r>
      <w:r>
        <w:rPr>
          <w:rFonts w:ascii="Times New Roman" w:hAnsi="Times New Roman" w:eastAsia="MS Mincho"/>
          <w:b w:val="0"/>
          <w:i w:val="0"/>
          <w:sz w:val="24"/>
        </w:rPr>
        <w:t>. Commission on the Measurement of Economic Performance and Social Progress.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