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Times New Roman" w:hAnsi="Times New Roman" w:eastAsia="MS Mincho"/>
          <w:b/>
          <w:i w:val="0"/>
          <w:sz w:val="26"/>
        </w:rPr>
        <w:t>Table 2. Population-capital tempo correspondence.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Concept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Population (Bongaarts-Feeney, 1998)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Capital (this paper)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Flow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Births $B(t)$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Investment $I(t)$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Stock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Population $N(t)$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Reproducible capital $W(t)$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Quantum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Total Fertility Rate $TFR$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Investment rate $I/Y$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Tempo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Mean age at childbearing $MAC(t)$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Time-to-build $\mu(t)$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Bongaarts-Feeney adjustment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$TFR^\ast=TFR/(1-r(t))$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$K^\ast(t)$ via $\mu(t)$-weighted PIM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Forgotten parameter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Parity-specific $\sigma$ (Goldstein-Lutz-Scherbov, 2003)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Intangible share $\beta$ (Corrado-Hulten-Sichel, 2009)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Book-keeping identity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$dN/dt = B - d\cdot N$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$dW/dt = I - \delta W$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Joint identification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TFR* vs. life-table consistency</w:t>
            </w:r>
          </w:p>
        </w:tc>
        <w:tc>
          <w:tcPr>
            <w:tcW w:type="dxa" w:w="3600"/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PIM vs. CWON consistency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