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The Editor-in-Chief</w:t>
      </w:r>
    </w:p>
    <w:p>
      <w:r>
        <w:rPr>
          <w:rFonts w:ascii="Times New Roman" w:hAnsi="Times New Roman"/>
          <w:sz w:val="24"/>
        </w:rPr>
        <w:t>Health Policy</w:t>
      </w:r>
    </w:p>
    <w:p/>
    <w:p>
      <w:r>
        <w:rPr>
          <w:rFonts w:ascii="Times New Roman" w:hAnsi="Times New Roman"/>
          <w:sz w:val="24"/>
        </w:rPr>
        <w:t>Dear Editor,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full-length article, "Litigation risk and specialty-level physician workforce in Japan, 2008–2024: a rate-based re-analysis with equivalence testing", for consideration by Health Policy.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Japan is a high-income country outside the United States with a rapidly ageing population and a widely debated maldistribution of physicians across specialties. Using national primary data for 12 clinical specialties, we test whether malpractice-litigation risk is associated with subsequent decline in the physician workforce and in hospitals offering each specialty.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Crucially, we express exposure as a rate (closed claims per 1,000 physicians) to remove specialty-size confounding, analyse only measured biennial physician observations rather than interpolated annual values, and apply equivalence (TOST) testing. We find no association between litigation risk and workforce or hospital change; the effect is statistically equivalent to a null within a small, pre-specified margin. The common intuition that physicians avoid high-litigation specialties is not supported. We show that previously reported associations arise from size confounding and from treating interpolated years as independent observations, and we discuss how structural incentives—no-fault obstetric compensation (JOCS-CP) and procedure-based reimbursement—may sustain the specialty workforce.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This manuscript is a substantially rebuilt analysis prepared after external peer review of an earlier version identified count-based modelling and interpolation as structural problems; we have addressed these by moving to rates, measured-only data, equivalence testing, explicit treatment of JOCS-CP, and correction of the Medical Accident Investigation System description. All data and code are openly available and every reported number is reproducible from raw files.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