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across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Earlier count-based links vanish when size confounding and interpolation are removed.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testing supports a null effect within policy-relevant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No-fault obstetric compensation may sustain high-risk specialty supply.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