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in Japan, 2008–2024: a rate-based re-analysis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1565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Full-length article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2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