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</w:pPr>
      <w:r>
        <w:rPr>
          <w:rFonts w:ascii="Times New Roman" w:hAnsi="Times New Roman"/>
          <w:b/>
          <w:sz w:val="24"/>
        </w:rPr>
        <w:t>Table 1. Anaesthesia procedure codes analysed across 335 secondary medical areas of Japan, fiscal year 2022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57"/>
        <w:gridCol w:w="4857"/>
        <w:gridCol w:w="4857"/>
      </w:tblGrid>
      <w:tr>
        <w:tc>
          <w:tcPr>
            <w:tcW w:type="dxa" w:w="4857"/>
          </w:tcPr>
          <w:p>
            <w:r/>
            <w:r>
              <w:rPr>
                <w:rFonts w:ascii="Times New Roman" w:hAnsi="Times New Roman"/>
                <w:b/>
                <w:sz w:val="22"/>
              </w:rPr>
              <w:t>Code</w:t>
            </w:r>
          </w:p>
        </w:tc>
        <w:tc>
          <w:tcPr>
            <w:tcW w:type="dxa" w:w="4857"/>
          </w:tcPr>
          <w:p>
            <w:r/>
            <w:r>
              <w:rPr>
                <w:rFonts w:ascii="Times New Roman" w:hAnsi="Times New Roman"/>
                <w:b/>
                <w:sz w:val="22"/>
              </w:rPr>
              <w:t>Procedure</w:t>
            </w:r>
          </w:p>
        </w:tc>
        <w:tc>
          <w:tcPr>
            <w:tcW w:type="dxa" w:w="4857"/>
          </w:tcPr>
          <w:p>
            <w:r/>
            <w:r>
              <w:rPr>
                <w:rFonts w:ascii="Times New Roman" w:hAnsi="Times New Roman"/>
                <w:b/>
                <w:sz w:val="22"/>
              </w:rPr>
              <w:t>Notes</w:t>
            </w:r>
          </w:p>
        </w:tc>
      </w:tr>
      <w:tr>
        <w:tc>
          <w:tcPr>
            <w:tcW w:type="dxa" w:w="4857"/>
          </w:tcPr>
          <w:p>
            <w:r/>
            <w:r>
              <w:rPr>
                <w:rFonts w:ascii="Times New Roman" w:hAnsi="Times New Roman"/>
                <w:sz w:val="22"/>
              </w:rPr>
              <w:t>L008</w:t>
            </w:r>
          </w:p>
        </w:tc>
        <w:tc>
          <w:tcPr>
            <w:tcW w:type="dxa" w:w="4857"/>
          </w:tcPr>
          <w:p>
            <w:r/>
            <w:r>
              <w:rPr>
                <w:rFonts w:ascii="Times New Roman" w:hAnsi="Times New Roman"/>
                <w:sz w:val="22"/>
              </w:rPr>
              <w:t>General anaesthesia (closed-circuit)</w:t>
            </w:r>
          </w:p>
        </w:tc>
        <w:tc>
          <w:tcPr>
            <w:tcW w:type="dxa" w:w="4857"/>
          </w:tcPr>
          <w:p>
            <w:r/>
            <w:r>
              <w:rPr>
                <w:rFonts w:ascii="Times New Roman" w:hAnsi="Times New Roman"/>
                <w:sz w:val="22"/>
              </w:rPr>
              <w:t>Primary indicator of overall general anaesthesia volume</w:t>
            </w:r>
          </w:p>
        </w:tc>
      </w:tr>
      <w:tr>
        <w:tc>
          <w:tcPr>
            <w:tcW w:type="dxa" w:w="4857"/>
          </w:tcPr>
          <w:p>
            <w:r/>
            <w:r>
              <w:rPr>
                <w:rFonts w:ascii="Times New Roman" w:hAnsi="Times New Roman"/>
                <w:sz w:val="22"/>
              </w:rPr>
              <w:t>L004</w:t>
            </w:r>
          </w:p>
        </w:tc>
        <w:tc>
          <w:tcPr>
            <w:tcW w:type="dxa" w:w="4857"/>
          </w:tcPr>
          <w:p>
            <w:r/>
            <w:r>
              <w:rPr>
                <w:rFonts w:ascii="Times New Roman" w:hAnsi="Times New Roman"/>
                <w:sz w:val="22"/>
              </w:rPr>
              <w:t>Spinal anaesthesia</w:t>
            </w:r>
          </w:p>
        </w:tc>
        <w:tc>
          <w:tcPr>
            <w:tcW w:type="dxa" w:w="4857"/>
          </w:tcPr>
          <w:p>
            <w:r/>
            <w:r>
              <w:rPr>
                <w:rFonts w:ascii="Times New Roman" w:hAnsi="Times New Roman"/>
                <w:sz w:val="22"/>
              </w:rPr>
              <w:t>Regional technique</w:t>
            </w:r>
          </w:p>
        </w:tc>
      </w:tr>
      <w:tr>
        <w:tc>
          <w:tcPr>
            <w:tcW w:type="dxa" w:w="4857"/>
          </w:tcPr>
          <w:p>
            <w:r/>
            <w:r>
              <w:rPr>
                <w:rFonts w:ascii="Times New Roman" w:hAnsi="Times New Roman"/>
                <w:sz w:val="22"/>
              </w:rPr>
              <w:t>L002</w:t>
            </w:r>
          </w:p>
        </w:tc>
        <w:tc>
          <w:tcPr>
            <w:tcW w:type="dxa" w:w="4857"/>
          </w:tcPr>
          <w:p>
            <w:r/>
            <w:r>
              <w:rPr>
                <w:rFonts w:ascii="Times New Roman" w:hAnsi="Times New Roman"/>
                <w:sz w:val="22"/>
              </w:rPr>
              <w:t>Epidural anaesthesia as main technique</w:t>
            </w:r>
          </w:p>
        </w:tc>
        <w:tc>
          <w:tcPr>
            <w:tcW w:type="dxa" w:w="4857"/>
          </w:tcPr>
          <w:p>
            <w:r/>
            <w:r>
              <w:rPr>
                <w:rFonts w:ascii="Times New Roman" w:hAnsi="Times New Roman"/>
                <w:sz w:val="22"/>
              </w:rPr>
              <w:t>Regional technique claimed as the primary anaesthetic</w:t>
            </w:r>
          </w:p>
        </w:tc>
      </w:tr>
      <w:tr>
        <w:tc>
          <w:tcPr>
            <w:tcW w:type="dxa" w:w="4857"/>
          </w:tcPr>
          <w:p>
            <w:r/>
            <w:r>
              <w:rPr>
                <w:rFonts w:ascii="Times New Roman" w:hAnsi="Times New Roman"/>
                <w:sz w:val="22"/>
              </w:rPr>
              <w:t>L003</w:t>
            </w:r>
          </w:p>
        </w:tc>
        <w:tc>
          <w:tcPr>
            <w:tcW w:type="dxa" w:w="4857"/>
          </w:tcPr>
          <w:p>
            <w:r/>
            <w:r>
              <w:rPr>
                <w:rFonts w:ascii="Times New Roman" w:hAnsi="Times New Roman"/>
                <w:sz w:val="22"/>
              </w:rPr>
              <w:t>Continuous epidural infusion</w:t>
            </w:r>
          </w:p>
        </w:tc>
        <w:tc>
          <w:tcPr>
            <w:tcW w:type="dxa" w:w="4857"/>
          </w:tcPr>
          <w:p>
            <w:r/>
            <w:r>
              <w:rPr>
                <w:rFonts w:ascii="Times New Roman" w:hAnsi="Times New Roman"/>
                <w:sz w:val="22"/>
              </w:rPr>
              <w:t>Regional technique largely billed as adjunct to general anaesthesia</w:t>
            </w:r>
          </w:p>
        </w:tc>
      </w:tr>
      <w:tr>
        <w:tc>
          <w:tcPr>
            <w:tcW w:type="dxa" w:w="4857"/>
          </w:tcPr>
          <w:p>
            <w:r/>
            <w:r>
              <w:rPr>
                <w:rFonts w:ascii="Times New Roman" w:hAnsi="Times New Roman"/>
                <w:sz w:val="22"/>
              </w:rPr>
              <w:t>L009</w:t>
            </w:r>
          </w:p>
        </w:tc>
        <w:tc>
          <w:tcPr>
            <w:tcW w:type="dxa" w:w="4857"/>
          </w:tcPr>
          <w:p>
            <w:r/>
            <w:r>
              <w:rPr>
                <w:rFonts w:ascii="Times New Roman" w:hAnsi="Times New Roman"/>
                <w:sz w:val="22"/>
              </w:rPr>
              <w:t>Anaesthesia management fee I</w:t>
            </w:r>
          </w:p>
        </w:tc>
        <w:tc>
          <w:tcPr>
            <w:tcW w:type="dxa" w:w="4857"/>
          </w:tcPr>
          <w:p>
            <w:r/>
            <w:r>
              <w:rPr>
                <w:rFonts w:ascii="Times New Roman" w:hAnsi="Times New Roman"/>
                <w:sz w:val="22"/>
              </w:rPr>
              <w:t>Proxy for specialist anaesthesiologist staffing</w:t>
            </w:r>
          </w:p>
        </w:tc>
      </w:tr>
      <w:tr>
        <w:tc>
          <w:tcPr>
            <w:tcW w:type="dxa" w:w="4857"/>
          </w:tcPr>
          <w:p>
            <w:r/>
            <w:r>
              <w:rPr>
                <w:rFonts w:ascii="Times New Roman" w:hAnsi="Times New Roman"/>
                <w:sz w:val="22"/>
              </w:rPr>
              <w:t>L100</w:t>
            </w:r>
          </w:p>
        </w:tc>
        <w:tc>
          <w:tcPr>
            <w:tcW w:type="dxa" w:w="4857"/>
          </w:tcPr>
          <w:p>
            <w:r/>
            <w:r>
              <w:rPr>
                <w:rFonts w:ascii="Times New Roman" w:hAnsi="Times New Roman"/>
                <w:sz w:val="22"/>
              </w:rPr>
              <w:t>Nerve block, inpatient</w:t>
            </w:r>
          </w:p>
        </w:tc>
        <w:tc>
          <w:tcPr>
            <w:tcW w:type="dxa" w:w="4857"/>
          </w:tcPr>
          <w:p>
            <w:r/>
            <w:r>
              <w:rPr>
                <w:rFonts w:ascii="Times New Roman" w:hAnsi="Times New Roman"/>
                <w:sz w:val="22"/>
              </w:rPr>
              <w:t>Indicator of pain-clinic activity</w:t>
            </w:r>
          </w:p>
        </w:tc>
      </w:tr>
    </w:tbl>
    <w:p>
      <w:pPr>
        <w:spacing w:after="240"/>
      </w:pPr>
      <w:r>
        <w:rPr>
          <w:rFonts w:ascii="Times New Roman" w:hAnsi="Times New Roman"/>
          <w:i/>
          <w:sz w:val="20"/>
        </w:rPr>
        <w:t>Source: Japanese fee schedule (shinryo houshu tensuhyo), fiscal year 2022. Standardised claim ratios (national average = 100) were computed for each code by indirect age- and sex-standardisation.</w:t>
      </w:r>
    </w:p>
    <w:p>
      <w:pPr>
        <w:spacing w:before="240" w:after="120"/>
      </w:pPr>
      <w:r>
        <w:rPr>
          <w:rFonts w:ascii="Times New Roman" w:hAnsi="Times New Roman"/>
          <w:b/>
          <w:sz w:val="24"/>
        </w:rPr>
        <w:t>Table 2. Distribution of standardised claim ratios across 335 secondary medical areas (national average = 100), fiscal year 2022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81"/>
        <w:gridCol w:w="2081"/>
        <w:gridCol w:w="2081"/>
        <w:gridCol w:w="2081"/>
        <w:gridCol w:w="2081"/>
        <w:gridCol w:w="2081"/>
        <w:gridCol w:w="2081"/>
      </w:tblGrid>
      <w:tr>
        <w:tc>
          <w:tcPr>
            <w:tcW w:type="dxa" w:w="2081"/>
          </w:tcPr>
          <w:p>
            <w:r/>
            <w:r>
              <w:rPr>
                <w:rFonts w:ascii="Times New Roman" w:hAnsi="Times New Roman"/>
                <w:b/>
                <w:sz w:val="22"/>
              </w:rPr>
              <w:t>Code</w:t>
            </w:r>
          </w:p>
        </w:tc>
        <w:tc>
          <w:tcPr>
            <w:tcW w:type="dxa" w:w="2081"/>
          </w:tcPr>
          <w:p>
            <w:r/>
            <w:r>
              <w:rPr>
                <w:rFonts w:ascii="Times New Roman" w:hAnsi="Times New Roman"/>
                <w:b/>
                <w:sz w:val="22"/>
              </w:rPr>
              <w:t>n</w:t>
            </w:r>
          </w:p>
        </w:tc>
        <w:tc>
          <w:tcPr>
            <w:tcW w:type="dxa" w:w="2081"/>
          </w:tcPr>
          <w:p>
            <w:r/>
            <w:r>
              <w:rPr>
                <w:rFonts w:ascii="Times New Roman" w:hAnsi="Times New Roman"/>
                <w:b/>
                <w:sz w:val="22"/>
              </w:rPr>
              <w:t>Mean (SD)</w:t>
            </w:r>
          </w:p>
        </w:tc>
        <w:tc>
          <w:tcPr>
            <w:tcW w:type="dxa" w:w="2081"/>
          </w:tcPr>
          <w:p>
            <w:r/>
            <w:r>
              <w:rPr>
                <w:rFonts w:ascii="Times New Roman" w:hAnsi="Times New Roman"/>
                <w:b/>
                <w:sz w:val="22"/>
              </w:rPr>
              <w:t>Median (IQR)</w:t>
            </w:r>
          </w:p>
        </w:tc>
        <w:tc>
          <w:tcPr>
            <w:tcW w:type="dxa" w:w="2081"/>
          </w:tcPr>
          <w:p>
            <w:r/>
            <w:r>
              <w:rPr>
                <w:rFonts w:ascii="Times New Roman" w:hAnsi="Times New Roman"/>
                <w:b/>
                <w:sz w:val="22"/>
              </w:rPr>
              <w:t>Min</w:t>
            </w:r>
          </w:p>
        </w:tc>
        <w:tc>
          <w:tcPr>
            <w:tcW w:type="dxa" w:w="2081"/>
          </w:tcPr>
          <w:p>
            <w:r/>
            <w:r>
              <w:rPr>
                <w:rFonts w:ascii="Times New Roman" w:hAnsi="Times New Roman"/>
                <w:b/>
                <w:sz w:val="22"/>
              </w:rPr>
              <w:t>Max</w:t>
            </w:r>
          </w:p>
        </w:tc>
        <w:tc>
          <w:tcPr>
            <w:tcW w:type="dxa" w:w="2081"/>
          </w:tcPr>
          <w:p>
            <w:r/>
            <w:r>
              <w:rPr>
                <w:rFonts w:ascii="Times New Roman" w:hAnsi="Times New Roman"/>
                <w:b/>
                <w:sz w:val="22"/>
              </w:rPr>
              <w:t>CV (%)</w:t>
            </w:r>
          </w:p>
        </w:tc>
      </w:tr>
      <w:tr>
        <w:tc>
          <w:tcPr>
            <w:tcW w:type="dxa" w:w="2081"/>
          </w:tcPr>
          <w:p>
            <w:r/>
            <w:r>
              <w:rPr>
                <w:rFonts w:ascii="Times New Roman" w:hAnsi="Times New Roman"/>
                <w:sz w:val="22"/>
              </w:rPr>
              <w:t>L008</w:t>
            </w:r>
          </w:p>
        </w:tc>
        <w:tc>
          <w:tcPr>
            <w:tcW w:type="dxa" w:w="2081"/>
          </w:tcPr>
          <w:p>
            <w:r/>
            <w:r>
              <w:rPr>
                <w:rFonts w:ascii="Times New Roman" w:hAnsi="Times New Roman"/>
                <w:sz w:val="22"/>
              </w:rPr>
              <w:t>334</w:t>
            </w:r>
          </w:p>
        </w:tc>
        <w:tc>
          <w:tcPr>
            <w:tcW w:type="dxa" w:w="2081"/>
          </w:tcPr>
          <w:p>
            <w:r/>
            <w:r>
              <w:rPr>
                <w:rFonts w:ascii="Times New Roman" w:hAnsi="Times New Roman"/>
                <w:sz w:val="22"/>
              </w:rPr>
              <w:t>79.7 (42.8)</w:t>
            </w:r>
          </w:p>
        </w:tc>
        <w:tc>
          <w:tcPr>
            <w:tcW w:type="dxa" w:w="2081"/>
          </w:tcPr>
          <w:p>
            <w:r/>
            <w:r>
              <w:rPr>
                <w:rFonts w:ascii="Times New Roman" w:hAnsi="Times New Roman"/>
                <w:sz w:val="22"/>
              </w:rPr>
              <w:t>73.5 (50.0–103.0)</w:t>
            </w:r>
          </w:p>
        </w:tc>
        <w:tc>
          <w:tcPr>
            <w:tcW w:type="dxa" w:w="2081"/>
          </w:tcPr>
          <w:p>
            <w:r/>
            <w:r>
              <w:rPr>
                <w:rFonts w:ascii="Times New Roman" w:hAnsi="Times New Roman"/>
                <w:sz w:val="22"/>
              </w:rPr>
              <w:t>2.3</w:t>
            </w:r>
          </w:p>
        </w:tc>
        <w:tc>
          <w:tcPr>
            <w:tcW w:type="dxa" w:w="2081"/>
          </w:tcPr>
          <w:p>
            <w:r/>
            <w:r>
              <w:rPr>
                <w:rFonts w:ascii="Times New Roman" w:hAnsi="Times New Roman"/>
                <w:sz w:val="22"/>
              </w:rPr>
              <w:t>435.7</w:t>
            </w:r>
          </w:p>
        </w:tc>
        <w:tc>
          <w:tcPr>
            <w:tcW w:type="dxa" w:w="2081"/>
          </w:tcPr>
          <w:p>
            <w:r/>
            <w:r>
              <w:rPr>
                <w:rFonts w:ascii="Times New Roman" w:hAnsi="Times New Roman"/>
                <w:sz w:val="22"/>
              </w:rPr>
              <w:t>53.7</w:t>
            </w:r>
          </w:p>
        </w:tc>
      </w:tr>
      <w:tr>
        <w:tc>
          <w:tcPr>
            <w:tcW w:type="dxa" w:w="2081"/>
          </w:tcPr>
          <w:p>
            <w:r/>
            <w:r>
              <w:rPr>
                <w:rFonts w:ascii="Times New Roman" w:hAnsi="Times New Roman"/>
                <w:sz w:val="22"/>
              </w:rPr>
              <w:t>L004</w:t>
            </w:r>
          </w:p>
        </w:tc>
        <w:tc>
          <w:tcPr>
            <w:tcW w:type="dxa" w:w="2081"/>
          </w:tcPr>
          <w:p>
            <w:r/>
            <w:r>
              <w:rPr>
                <w:rFonts w:ascii="Times New Roman" w:hAnsi="Times New Roman"/>
                <w:sz w:val="22"/>
              </w:rPr>
              <w:t>334</w:t>
            </w:r>
          </w:p>
        </w:tc>
        <w:tc>
          <w:tcPr>
            <w:tcW w:type="dxa" w:w="2081"/>
          </w:tcPr>
          <w:p>
            <w:r/>
            <w:r>
              <w:rPr>
                <w:rFonts w:ascii="Times New Roman" w:hAnsi="Times New Roman"/>
                <w:sz w:val="22"/>
              </w:rPr>
              <w:t>93.8 (53.3)</w:t>
            </w:r>
          </w:p>
        </w:tc>
        <w:tc>
          <w:tcPr>
            <w:tcW w:type="dxa" w:w="2081"/>
          </w:tcPr>
          <w:p>
            <w:r/>
            <w:r>
              <w:rPr>
                <w:rFonts w:ascii="Times New Roman" w:hAnsi="Times New Roman"/>
                <w:sz w:val="22"/>
              </w:rPr>
              <w:t>84.6 (55.8–127.4)</w:t>
            </w:r>
          </w:p>
        </w:tc>
        <w:tc>
          <w:tcPr>
            <w:tcW w:type="dxa" w:w="2081"/>
          </w:tcPr>
          <w:p>
            <w:r/>
            <w:r>
              <w:rPr>
                <w:rFonts w:ascii="Times New Roman" w:hAnsi="Times New Roman"/>
                <w:sz w:val="22"/>
              </w:rPr>
              <w:t>1.0</w:t>
            </w:r>
          </w:p>
        </w:tc>
        <w:tc>
          <w:tcPr>
            <w:tcW w:type="dxa" w:w="2081"/>
          </w:tcPr>
          <w:p>
            <w:r/>
            <w:r>
              <w:rPr>
                <w:rFonts w:ascii="Times New Roman" w:hAnsi="Times New Roman"/>
                <w:sz w:val="22"/>
              </w:rPr>
              <w:t>346.5</w:t>
            </w:r>
          </w:p>
        </w:tc>
        <w:tc>
          <w:tcPr>
            <w:tcW w:type="dxa" w:w="2081"/>
          </w:tcPr>
          <w:p>
            <w:r/>
            <w:r>
              <w:rPr>
                <w:rFonts w:ascii="Times New Roman" w:hAnsi="Times New Roman"/>
                <w:sz w:val="22"/>
              </w:rPr>
              <w:t>56.8</w:t>
            </w:r>
          </w:p>
        </w:tc>
      </w:tr>
      <w:tr>
        <w:tc>
          <w:tcPr>
            <w:tcW w:type="dxa" w:w="2081"/>
          </w:tcPr>
          <w:p>
            <w:r/>
            <w:r>
              <w:rPr>
                <w:rFonts w:ascii="Times New Roman" w:hAnsi="Times New Roman"/>
                <w:sz w:val="22"/>
              </w:rPr>
              <w:t>L002</w:t>
            </w:r>
          </w:p>
        </w:tc>
        <w:tc>
          <w:tcPr>
            <w:tcW w:type="dxa" w:w="2081"/>
          </w:tcPr>
          <w:p>
            <w:r/>
            <w:r>
              <w:rPr>
                <w:rFonts w:ascii="Times New Roman" w:hAnsi="Times New Roman"/>
                <w:sz w:val="22"/>
              </w:rPr>
              <w:t>307</w:t>
            </w:r>
          </w:p>
        </w:tc>
        <w:tc>
          <w:tcPr>
            <w:tcW w:type="dxa" w:w="2081"/>
          </w:tcPr>
          <w:p>
            <w:r/>
            <w:r>
              <w:rPr>
                <w:rFonts w:ascii="Times New Roman" w:hAnsi="Times New Roman"/>
                <w:sz w:val="22"/>
              </w:rPr>
              <w:t>95.6 (83.4)</w:t>
            </w:r>
          </w:p>
        </w:tc>
        <w:tc>
          <w:tcPr>
            <w:tcW w:type="dxa" w:w="2081"/>
          </w:tcPr>
          <w:p>
            <w:r/>
            <w:r>
              <w:rPr>
                <w:rFonts w:ascii="Times New Roman" w:hAnsi="Times New Roman"/>
                <w:sz w:val="22"/>
              </w:rPr>
              <w:t>76.6 (31.2–133.4)</w:t>
            </w:r>
          </w:p>
        </w:tc>
        <w:tc>
          <w:tcPr>
            <w:tcW w:type="dxa" w:w="2081"/>
          </w:tcPr>
          <w:p>
            <w:r/>
            <w:r>
              <w:rPr>
                <w:rFonts w:ascii="Times New Roman" w:hAnsi="Times New Roman"/>
                <w:sz w:val="22"/>
              </w:rPr>
              <w:t>0.9</w:t>
            </w:r>
          </w:p>
        </w:tc>
        <w:tc>
          <w:tcPr>
            <w:tcW w:type="dxa" w:w="2081"/>
          </w:tcPr>
          <w:p>
            <w:r/>
            <w:r>
              <w:rPr>
                <w:rFonts w:ascii="Times New Roman" w:hAnsi="Times New Roman"/>
                <w:sz w:val="22"/>
              </w:rPr>
              <w:t>519.1</w:t>
            </w:r>
          </w:p>
        </w:tc>
        <w:tc>
          <w:tcPr>
            <w:tcW w:type="dxa" w:w="2081"/>
          </w:tcPr>
          <w:p>
            <w:r/>
            <w:r>
              <w:rPr>
                <w:rFonts w:ascii="Times New Roman" w:hAnsi="Times New Roman"/>
                <w:sz w:val="22"/>
              </w:rPr>
              <w:t>87.2</w:t>
            </w:r>
          </w:p>
        </w:tc>
      </w:tr>
      <w:tr>
        <w:tc>
          <w:tcPr>
            <w:tcW w:type="dxa" w:w="2081"/>
          </w:tcPr>
          <w:p>
            <w:r/>
            <w:r>
              <w:rPr>
                <w:rFonts w:ascii="Times New Roman" w:hAnsi="Times New Roman"/>
                <w:sz w:val="22"/>
              </w:rPr>
              <w:t>L003</w:t>
            </w:r>
          </w:p>
        </w:tc>
        <w:tc>
          <w:tcPr>
            <w:tcW w:type="dxa" w:w="2081"/>
          </w:tcPr>
          <w:p>
            <w:r/>
            <w:r>
              <w:rPr>
                <w:rFonts w:ascii="Times New Roman" w:hAnsi="Times New Roman"/>
                <w:sz w:val="22"/>
              </w:rPr>
              <w:t>331</w:t>
            </w:r>
          </w:p>
        </w:tc>
        <w:tc>
          <w:tcPr>
            <w:tcW w:type="dxa" w:w="2081"/>
          </w:tcPr>
          <w:p>
            <w:r/>
            <w:r>
              <w:rPr>
                <w:rFonts w:ascii="Times New Roman" w:hAnsi="Times New Roman"/>
                <w:sz w:val="22"/>
              </w:rPr>
              <w:t>83.5 (54.3)</w:t>
            </w:r>
          </w:p>
        </w:tc>
        <w:tc>
          <w:tcPr>
            <w:tcW w:type="dxa" w:w="2081"/>
          </w:tcPr>
          <w:p>
            <w:r/>
            <w:r>
              <w:rPr>
                <w:rFonts w:ascii="Times New Roman" w:hAnsi="Times New Roman"/>
                <w:sz w:val="22"/>
              </w:rPr>
              <w:t>73.4 (45.0–117.0)</w:t>
            </w:r>
          </w:p>
        </w:tc>
        <w:tc>
          <w:tcPr>
            <w:tcW w:type="dxa" w:w="2081"/>
          </w:tcPr>
          <w:p>
            <w:r/>
            <w:r>
              <w:rPr>
                <w:rFonts w:ascii="Times New Roman" w:hAnsi="Times New Roman"/>
                <w:sz w:val="22"/>
              </w:rPr>
              <w:t>0.4</w:t>
            </w:r>
          </w:p>
        </w:tc>
        <w:tc>
          <w:tcPr>
            <w:tcW w:type="dxa" w:w="2081"/>
          </w:tcPr>
          <w:p>
            <w:r/>
            <w:r>
              <w:rPr>
                <w:rFonts w:ascii="Times New Roman" w:hAnsi="Times New Roman"/>
                <w:sz w:val="22"/>
              </w:rPr>
              <w:t>443.0</w:t>
            </w:r>
          </w:p>
        </w:tc>
        <w:tc>
          <w:tcPr>
            <w:tcW w:type="dxa" w:w="2081"/>
          </w:tcPr>
          <w:p>
            <w:r/>
            <w:r>
              <w:rPr>
                <w:rFonts w:ascii="Times New Roman" w:hAnsi="Times New Roman"/>
                <w:sz w:val="22"/>
              </w:rPr>
              <w:t>65.0</w:t>
            </w:r>
          </w:p>
        </w:tc>
      </w:tr>
      <w:tr>
        <w:tc>
          <w:tcPr>
            <w:tcW w:type="dxa" w:w="2081"/>
          </w:tcPr>
          <w:p>
            <w:r/>
            <w:r>
              <w:rPr>
                <w:rFonts w:ascii="Times New Roman" w:hAnsi="Times New Roman"/>
                <w:sz w:val="22"/>
              </w:rPr>
              <w:t>L009</w:t>
            </w:r>
          </w:p>
        </w:tc>
        <w:tc>
          <w:tcPr>
            <w:tcW w:type="dxa" w:w="2081"/>
          </w:tcPr>
          <w:p>
            <w:r/>
            <w:r>
              <w:rPr>
                <w:rFonts w:ascii="Times New Roman" w:hAnsi="Times New Roman"/>
                <w:sz w:val="22"/>
              </w:rPr>
              <w:t>314</w:t>
            </w:r>
          </w:p>
        </w:tc>
        <w:tc>
          <w:tcPr>
            <w:tcW w:type="dxa" w:w="2081"/>
          </w:tcPr>
          <w:p>
            <w:r/>
            <w:r>
              <w:rPr>
                <w:rFonts w:ascii="Times New Roman" w:hAnsi="Times New Roman"/>
                <w:sz w:val="22"/>
              </w:rPr>
              <w:t>87.3 (49.9)</w:t>
            </w:r>
          </w:p>
        </w:tc>
        <w:tc>
          <w:tcPr>
            <w:tcW w:type="dxa" w:w="2081"/>
          </w:tcPr>
          <w:p>
            <w:r/>
            <w:r>
              <w:rPr>
                <w:rFonts w:ascii="Times New Roman" w:hAnsi="Times New Roman"/>
                <w:sz w:val="22"/>
              </w:rPr>
              <w:t>78.9 (51.4–116.5)</w:t>
            </w:r>
          </w:p>
        </w:tc>
        <w:tc>
          <w:tcPr>
            <w:tcW w:type="dxa" w:w="2081"/>
          </w:tcPr>
          <w:p>
            <w:r/>
            <w:r>
              <w:rPr>
                <w:rFonts w:ascii="Times New Roman" w:hAnsi="Times New Roman"/>
                <w:sz w:val="22"/>
              </w:rPr>
              <w:t>0.1</w:t>
            </w:r>
          </w:p>
        </w:tc>
        <w:tc>
          <w:tcPr>
            <w:tcW w:type="dxa" w:w="2081"/>
          </w:tcPr>
          <w:p>
            <w:r/>
            <w:r>
              <w:rPr>
                <w:rFonts w:ascii="Times New Roman" w:hAnsi="Times New Roman"/>
                <w:sz w:val="22"/>
              </w:rPr>
              <w:t>392.2</w:t>
            </w:r>
          </w:p>
        </w:tc>
        <w:tc>
          <w:tcPr>
            <w:tcW w:type="dxa" w:w="2081"/>
          </w:tcPr>
          <w:p>
            <w:r/>
            <w:r>
              <w:rPr>
                <w:rFonts w:ascii="Times New Roman" w:hAnsi="Times New Roman"/>
                <w:sz w:val="22"/>
              </w:rPr>
              <w:t>57.2</w:t>
            </w:r>
          </w:p>
        </w:tc>
      </w:tr>
      <w:tr>
        <w:tc>
          <w:tcPr>
            <w:tcW w:type="dxa" w:w="2081"/>
          </w:tcPr>
          <w:p>
            <w:r/>
            <w:r>
              <w:rPr>
                <w:rFonts w:ascii="Times New Roman" w:hAnsi="Times New Roman"/>
                <w:sz w:val="22"/>
              </w:rPr>
              <w:t>L100</w:t>
            </w:r>
          </w:p>
        </w:tc>
        <w:tc>
          <w:tcPr>
            <w:tcW w:type="dxa" w:w="2081"/>
          </w:tcPr>
          <w:p>
            <w:r/>
            <w:r>
              <w:rPr>
                <w:rFonts w:ascii="Times New Roman" w:hAnsi="Times New Roman"/>
                <w:sz w:val="22"/>
              </w:rPr>
              <w:t>335</w:t>
            </w:r>
          </w:p>
        </w:tc>
        <w:tc>
          <w:tcPr>
            <w:tcW w:type="dxa" w:w="2081"/>
          </w:tcPr>
          <w:p>
            <w:r/>
            <w:r>
              <w:rPr>
                <w:rFonts w:ascii="Times New Roman" w:hAnsi="Times New Roman"/>
                <w:sz w:val="22"/>
              </w:rPr>
              <w:t>99.8 (77.1)</w:t>
            </w:r>
          </w:p>
        </w:tc>
        <w:tc>
          <w:tcPr>
            <w:tcW w:type="dxa" w:w="2081"/>
          </w:tcPr>
          <w:p>
            <w:r/>
            <w:r>
              <w:rPr>
                <w:rFonts w:ascii="Times New Roman" w:hAnsi="Times New Roman"/>
                <w:sz w:val="22"/>
              </w:rPr>
              <w:t>77.8 (43.7–125.9)</w:t>
            </w:r>
          </w:p>
        </w:tc>
        <w:tc>
          <w:tcPr>
            <w:tcW w:type="dxa" w:w="2081"/>
          </w:tcPr>
          <w:p>
            <w:r/>
            <w:r>
              <w:rPr>
                <w:rFonts w:ascii="Times New Roman" w:hAnsi="Times New Roman"/>
                <w:sz w:val="22"/>
              </w:rPr>
              <w:t>3.0</w:t>
            </w:r>
          </w:p>
        </w:tc>
        <w:tc>
          <w:tcPr>
            <w:tcW w:type="dxa" w:w="2081"/>
          </w:tcPr>
          <w:p>
            <w:r/>
            <w:r>
              <w:rPr>
                <w:rFonts w:ascii="Times New Roman" w:hAnsi="Times New Roman"/>
                <w:sz w:val="22"/>
              </w:rPr>
              <w:t>433.3</w:t>
            </w:r>
          </w:p>
        </w:tc>
        <w:tc>
          <w:tcPr>
            <w:tcW w:type="dxa" w:w="2081"/>
          </w:tcPr>
          <w:p>
            <w:r/>
            <w:r>
              <w:rPr>
                <w:rFonts w:ascii="Times New Roman" w:hAnsi="Times New Roman"/>
                <w:sz w:val="22"/>
              </w:rPr>
              <w:t>77.3</w:t>
            </w:r>
          </w:p>
        </w:tc>
      </w:tr>
    </w:tbl>
    <w:p>
      <w:pPr>
        <w:spacing w:after="240"/>
      </w:pPr>
      <w:r>
        <w:rPr>
          <w:rFonts w:ascii="Times New Roman" w:hAnsi="Times New Roman"/>
          <w:i/>
          <w:sz w:val="20"/>
        </w:rPr>
        <w:t>SD, standard deviation; IQR, interquartile range; CV, coefficient of variation. Areas with low claim volume are masked by the data provider and appear as missing values.</w:t>
      </w:r>
    </w:p>
    <w:p>
      <w:pPr>
        <w:spacing w:before="240" w:after="120"/>
      </w:pPr>
      <w:r>
        <w:rPr>
          <w:rFonts w:ascii="Times New Roman" w:hAnsi="Times New Roman"/>
          <w:b/>
          <w:sz w:val="24"/>
        </w:rPr>
        <w:t>Table 3. Multilevel linear mixed model results: standardised claim ratio as outcome, prefecture as random intercept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14"/>
        <w:gridCol w:w="2914"/>
        <w:gridCol w:w="2914"/>
        <w:gridCol w:w="2914"/>
        <w:gridCol w:w="2914"/>
      </w:tblGrid>
      <w:tr>
        <w:tc>
          <w:tcPr>
            <w:tcW w:type="dxa" w:w="2914"/>
          </w:tcPr>
          <w:p>
            <w:r/>
            <w:r>
              <w:rPr>
                <w:rFonts w:ascii="Times New Roman" w:hAnsi="Times New Roman"/>
                <w:b/>
                <w:sz w:val="22"/>
              </w:rPr>
              <w:t>Code</w:t>
            </w:r>
          </w:p>
        </w:tc>
        <w:tc>
          <w:tcPr>
            <w:tcW w:type="dxa" w:w="2914"/>
          </w:tcPr>
          <w:p>
            <w:r/>
            <w:r>
              <w:rPr>
                <w:rFonts w:ascii="Times New Roman" w:hAnsi="Times New Roman"/>
                <w:b/>
                <w:sz w:val="22"/>
              </w:rPr>
              <w:t>Null model ICC</w:t>
            </w:r>
          </w:p>
        </w:tc>
        <w:tc>
          <w:tcPr>
            <w:tcW w:type="dxa" w:w="2914"/>
          </w:tcPr>
          <w:p>
            <w:r/>
            <w:r>
              <w:rPr>
                <w:rFonts w:ascii="Times New Roman" w:hAnsi="Times New Roman"/>
                <w:b/>
                <w:sz w:val="22"/>
              </w:rPr>
              <w:t>β university (95% CI)</w:t>
            </w:r>
          </w:p>
        </w:tc>
        <w:tc>
          <w:tcPr>
            <w:tcW w:type="dxa" w:w="2914"/>
          </w:tcPr>
          <w:p>
            <w:r/>
            <w:r>
              <w:rPr>
                <w:rFonts w:ascii="Times New Roman" w:hAnsi="Times New Roman"/>
                <w:b/>
                <w:sz w:val="22"/>
              </w:rPr>
              <w:t>P value</w:t>
            </w:r>
          </w:p>
        </w:tc>
        <w:tc>
          <w:tcPr>
            <w:tcW w:type="dxa" w:w="2914"/>
          </w:tcPr>
          <w:p>
            <w:r/>
            <w:r>
              <w:rPr>
                <w:rFonts w:ascii="Times New Roman" w:hAnsi="Times New Roman"/>
                <w:b/>
                <w:sz w:val="22"/>
              </w:rPr>
              <w:t>Marginal R²</w:t>
            </w:r>
          </w:p>
        </w:tc>
      </w:tr>
      <w:tr>
        <w:tc>
          <w:tcPr>
            <w:tcW w:type="dxa" w:w="2914"/>
          </w:tcPr>
          <w:p>
            <w:r/>
            <w:r>
              <w:rPr>
                <w:rFonts w:ascii="Times New Roman" w:hAnsi="Times New Roman"/>
                <w:sz w:val="22"/>
              </w:rPr>
              <w:t>L008</w:t>
            </w:r>
          </w:p>
        </w:tc>
        <w:tc>
          <w:tcPr>
            <w:tcW w:type="dxa" w:w="2914"/>
          </w:tcPr>
          <w:p>
            <w:r/>
            <w:r>
              <w:rPr>
                <w:rFonts w:ascii="Times New Roman" w:hAnsi="Times New Roman"/>
                <w:sz w:val="22"/>
              </w:rPr>
              <w:t>0.058</w:t>
            </w:r>
          </w:p>
        </w:tc>
        <w:tc>
          <w:tcPr>
            <w:tcW w:type="dxa" w:w="2914"/>
          </w:tcPr>
          <w:p>
            <w:r/>
            <w:r>
              <w:rPr>
                <w:rFonts w:ascii="Times New Roman" w:hAnsi="Times New Roman"/>
                <w:sz w:val="22"/>
              </w:rPr>
              <w:t>+64.1 (54.8 to 73.4)</w:t>
            </w:r>
          </w:p>
        </w:tc>
        <w:tc>
          <w:tcPr>
            <w:tcW w:type="dxa" w:w="2914"/>
          </w:tcPr>
          <w:p>
            <w:r/>
            <w:r>
              <w:rPr>
                <w:rFonts w:ascii="Times New Roman" w:hAnsi="Times New Roman"/>
                <w:sz w:val="22"/>
              </w:rPr>
              <w:t>&lt;0.001</w:t>
            </w:r>
          </w:p>
        </w:tc>
        <w:tc>
          <w:tcPr>
            <w:tcW w:type="dxa" w:w="2914"/>
          </w:tcPr>
          <w:p>
            <w:r/>
            <w:r>
              <w:rPr>
                <w:rFonts w:ascii="Times New Roman" w:hAnsi="Times New Roman"/>
                <w:sz w:val="22"/>
              </w:rPr>
              <w:t>0.358</w:t>
            </w:r>
          </w:p>
        </w:tc>
      </w:tr>
      <w:tr>
        <w:tc>
          <w:tcPr>
            <w:tcW w:type="dxa" w:w="2914"/>
          </w:tcPr>
          <w:p>
            <w:r/>
            <w:r>
              <w:rPr>
                <w:rFonts w:ascii="Times New Roman" w:hAnsi="Times New Roman"/>
                <w:sz w:val="22"/>
              </w:rPr>
              <w:t>L004</w:t>
            </w:r>
          </w:p>
        </w:tc>
        <w:tc>
          <w:tcPr>
            <w:tcW w:type="dxa" w:w="2914"/>
          </w:tcPr>
          <w:p>
            <w:r/>
            <w:r>
              <w:rPr>
                <w:rFonts w:ascii="Times New Roman" w:hAnsi="Times New Roman"/>
                <w:sz w:val="22"/>
              </w:rPr>
              <w:t>0.343</w:t>
            </w:r>
          </w:p>
        </w:tc>
        <w:tc>
          <w:tcPr>
            <w:tcW w:type="dxa" w:w="2914"/>
          </w:tcPr>
          <w:p>
            <w:r/>
            <w:r>
              <w:rPr>
                <w:rFonts w:ascii="Times New Roman" w:hAnsi="Times New Roman"/>
                <w:sz w:val="22"/>
              </w:rPr>
              <w:t>+23.0 (11.0 to 35.1)</w:t>
            </w:r>
          </w:p>
        </w:tc>
        <w:tc>
          <w:tcPr>
            <w:tcW w:type="dxa" w:w="2914"/>
          </w:tcPr>
          <w:p>
            <w:r/>
            <w:r>
              <w:rPr>
                <w:rFonts w:ascii="Times New Roman" w:hAnsi="Times New Roman"/>
                <w:sz w:val="22"/>
              </w:rPr>
              <w:t>&lt;0.001</w:t>
            </w:r>
          </w:p>
        </w:tc>
        <w:tc>
          <w:tcPr>
            <w:tcW w:type="dxa" w:w="2914"/>
          </w:tcPr>
          <w:p>
            <w:r/>
            <w:r>
              <w:rPr>
                <w:rFonts w:ascii="Times New Roman" w:hAnsi="Times New Roman"/>
                <w:sz w:val="22"/>
              </w:rPr>
              <w:t>0.020</w:t>
            </w:r>
          </w:p>
        </w:tc>
      </w:tr>
      <w:tr>
        <w:tc>
          <w:tcPr>
            <w:tcW w:type="dxa" w:w="2914"/>
          </w:tcPr>
          <w:p>
            <w:r/>
            <w:r>
              <w:rPr>
                <w:rFonts w:ascii="Times New Roman" w:hAnsi="Times New Roman"/>
                <w:sz w:val="22"/>
              </w:rPr>
              <w:t>L002</w:t>
            </w:r>
          </w:p>
        </w:tc>
        <w:tc>
          <w:tcPr>
            <w:tcW w:type="dxa" w:w="2914"/>
          </w:tcPr>
          <w:p>
            <w:r/>
            <w:r>
              <w:rPr>
                <w:rFonts w:ascii="Times New Roman" w:hAnsi="Times New Roman"/>
                <w:sz w:val="22"/>
              </w:rPr>
              <w:t>0.191</w:t>
            </w:r>
          </w:p>
        </w:tc>
        <w:tc>
          <w:tcPr>
            <w:tcW w:type="dxa" w:w="2914"/>
          </w:tcPr>
          <w:p>
            <w:r/>
            <w:r>
              <w:rPr>
                <w:rFonts w:ascii="Times New Roman" w:hAnsi="Times New Roman"/>
                <w:sz w:val="22"/>
              </w:rPr>
              <w:t>+49.0 (27.2 to 70.8)</w:t>
            </w:r>
          </w:p>
        </w:tc>
        <w:tc>
          <w:tcPr>
            <w:tcW w:type="dxa" w:w="2914"/>
          </w:tcPr>
          <w:p>
            <w:r/>
            <w:r>
              <w:rPr>
                <w:rFonts w:ascii="Times New Roman" w:hAnsi="Times New Roman"/>
                <w:sz w:val="22"/>
              </w:rPr>
              <w:t>&lt;0.001</w:t>
            </w:r>
          </w:p>
        </w:tc>
        <w:tc>
          <w:tcPr>
            <w:tcW w:type="dxa" w:w="2914"/>
          </w:tcPr>
          <w:p>
            <w:r/>
            <w:r>
              <w:rPr>
                <w:rFonts w:ascii="Times New Roman" w:hAnsi="Times New Roman"/>
                <w:sz w:val="22"/>
              </w:rPr>
              <w:t>0.125</w:t>
            </w:r>
          </w:p>
        </w:tc>
      </w:tr>
      <w:tr>
        <w:tc>
          <w:tcPr>
            <w:tcW w:type="dxa" w:w="2914"/>
          </w:tcPr>
          <w:p>
            <w:r/>
            <w:r>
              <w:rPr>
                <w:rFonts w:ascii="Times New Roman" w:hAnsi="Times New Roman"/>
                <w:sz w:val="22"/>
              </w:rPr>
              <w:t>L003</w:t>
            </w:r>
          </w:p>
        </w:tc>
        <w:tc>
          <w:tcPr>
            <w:tcW w:type="dxa" w:w="2914"/>
          </w:tcPr>
          <w:p>
            <w:r/>
            <w:r>
              <w:rPr>
                <w:rFonts w:ascii="Times New Roman" w:hAnsi="Times New Roman"/>
                <w:sz w:val="22"/>
              </w:rPr>
              <w:t>0.106</w:t>
            </w:r>
          </w:p>
        </w:tc>
        <w:tc>
          <w:tcPr>
            <w:tcW w:type="dxa" w:w="2914"/>
          </w:tcPr>
          <w:p>
            <w:r/>
            <w:r>
              <w:rPr>
                <w:rFonts w:ascii="Times New Roman" w:hAnsi="Times New Roman"/>
                <w:sz w:val="22"/>
              </w:rPr>
              <w:t>+55.8 (43.0 to 68.7)</w:t>
            </w:r>
          </w:p>
        </w:tc>
        <w:tc>
          <w:tcPr>
            <w:tcW w:type="dxa" w:w="2914"/>
          </w:tcPr>
          <w:p>
            <w:r/>
            <w:r>
              <w:rPr>
                <w:rFonts w:ascii="Times New Roman" w:hAnsi="Times New Roman"/>
                <w:sz w:val="22"/>
              </w:rPr>
              <w:t>&lt;0.001</w:t>
            </w:r>
          </w:p>
        </w:tc>
        <w:tc>
          <w:tcPr>
            <w:tcW w:type="dxa" w:w="2914"/>
          </w:tcPr>
          <w:p>
            <w:r/>
            <w:r>
              <w:rPr>
                <w:rFonts w:ascii="Times New Roman" w:hAnsi="Times New Roman"/>
                <w:sz w:val="22"/>
              </w:rPr>
              <w:t>0.162</w:t>
            </w:r>
          </w:p>
        </w:tc>
      </w:tr>
    </w:tbl>
    <w:p>
      <w:pPr>
        <w:spacing w:after="240"/>
      </w:pPr>
      <w:r>
        <w:rPr>
          <w:rFonts w:ascii="Times New Roman" w:hAnsi="Times New Roman"/>
          <w:i/>
          <w:sz w:val="20"/>
        </w:rPr>
        <w:t>β university, fixed effect coefficient for university hospital presence (binary 0/1); CI, confidence interval; ICC, intraclass correlation coefficient; Marginal R², proportional reduction in total variance from the null model after adding the university hospital fixed effect.</w:t>
      </w:r>
    </w:p>
    <w:sectPr w:rsidR="00FC693F" w:rsidRPr="0006063C" w:rsidSect="00034616">
      <w:pgSz w:w="16838" w:h="11906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